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FC4635">
        <w:rPr>
          <w:rFonts w:ascii="Palatino Linotype" w:hAnsi="Palatino Linotype" w:cs="Arial"/>
          <w:b/>
          <w:sz w:val="24"/>
          <w:szCs w:val="24"/>
        </w:rPr>
        <w:t>00792</w:t>
      </w:r>
      <w:r w:rsidR="00C4038B">
        <w:rPr>
          <w:rFonts w:ascii="Palatino Linotype" w:hAnsi="Palatino Linotype" w:cs="Arial"/>
          <w:b/>
          <w:sz w:val="24"/>
          <w:szCs w:val="24"/>
        </w:rPr>
        <w:t>/INFOEM/IP/RR/2019</w:t>
      </w:r>
      <w:r w:rsidR="0000525F" w:rsidRPr="00E34F08">
        <w:rPr>
          <w:rFonts w:ascii="Palatino Linotype" w:hAnsi="Palatino Linotype" w:cs="Arial"/>
          <w:b/>
          <w:sz w:val="24"/>
          <w:szCs w:val="24"/>
        </w:rPr>
        <w:t>.</w:t>
      </w:r>
    </w:p>
    <w:p w:rsidR="00105730" w:rsidRPr="0001046D" w:rsidRDefault="00105730" w:rsidP="00E47A30">
      <w:pPr>
        <w:spacing w:after="0" w:line="360" w:lineRule="auto"/>
        <w:jc w:val="center"/>
        <w:rPr>
          <w:rFonts w:ascii="Palatino Linotype" w:hAnsi="Palatino Linotype" w:cs="Arial"/>
          <w:sz w:val="24"/>
          <w:szCs w:val="24"/>
        </w:rPr>
      </w:pPr>
    </w:p>
    <w:p w:rsidR="00C4038B" w:rsidRPr="00105730" w:rsidRDefault="0046491C" w:rsidP="00E47A30">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La falta de impugnación respecto al resto de los requerimientos que no fueron </w:t>
      </w:r>
      <w:proofErr w:type="gramStart"/>
      <w:r w:rsidRPr="0001046D">
        <w:rPr>
          <w:rFonts w:ascii="Palatino Linotype" w:hAnsi="Palatino Linotype" w:cs="Arial"/>
          <w:sz w:val="24"/>
          <w:szCs w:val="24"/>
        </w:rPr>
        <w:t>manifestados</w:t>
      </w:r>
      <w:proofErr w:type="gramEnd"/>
      <w:r w:rsidRPr="0001046D">
        <w:rPr>
          <w:rFonts w:ascii="Palatino Linotype" w:hAnsi="Palatino Linotype" w:cs="Arial"/>
          <w:sz w:val="24"/>
          <w:szCs w:val="24"/>
        </w:rPr>
        <w:t xml:space="preserve">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EA2C08" w:rsidRPr="0001046D" w:rsidRDefault="00EA2C08"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w:t>
      </w:r>
      <w:r w:rsidR="00FC4635">
        <w:rPr>
          <w:rFonts w:ascii="Palatino Linotype" w:hAnsi="Palatino Linotype" w:cs="Arial"/>
          <w:sz w:val="24"/>
          <w:szCs w:val="24"/>
        </w:rPr>
        <w:t xml:space="preserve">ca del particular al no ordenar </w:t>
      </w:r>
      <w:r w:rsidRPr="0001046D">
        <w:rPr>
          <w:rFonts w:ascii="Palatino Linotype" w:hAnsi="Palatino Linotype" w:cs="Arial"/>
          <w:sz w:val="24"/>
          <w:szCs w:val="24"/>
        </w:rPr>
        <w:t>la información solicitada por no impugnar la falta de entrega de los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FC4635" w:rsidRDefault="0046491C" w:rsidP="00FC4635">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01046D" w:rsidRDefault="00EA2C08" w:rsidP="00FC4635">
      <w:pPr>
        <w:spacing w:after="0" w:line="336" w:lineRule="auto"/>
        <w:jc w:val="center"/>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497EB1"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7180513" w:history="1">
            <w:r w:rsidR="00497EB1" w:rsidRPr="00091E0A">
              <w:rPr>
                <w:rStyle w:val="Hipervnculo"/>
                <w:rFonts w:ascii="Palatino Linotype" w:hAnsi="Palatino Linotype"/>
                <w:b/>
                <w:noProof/>
              </w:rPr>
              <w:t>I.</w:t>
            </w:r>
            <w:r w:rsidR="00497EB1">
              <w:rPr>
                <w:rFonts w:eastAsiaTheme="minorEastAsia"/>
                <w:noProof/>
                <w:lang w:eastAsia="es-MX"/>
              </w:rPr>
              <w:tab/>
            </w:r>
            <w:r w:rsidR="00497EB1" w:rsidRPr="00091E0A">
              <w:rPr>
                <w:rStyle w:val="Hipervnculo"/>
                <w:rFonts w:ascii="Palatino Linotype" w:hAnsi="Palatino Linotype"/>
                <w:b/>
                <w:noProof/>
              </w:rPr>
              <w:t>Consideraciones Generales.</w:t>
            </w:r>
            <w:r w:rsidR="00497EB1">
              <w:rPr>
                <w:noProof/>
                <w:webHidden/>
              </w:rPr>
              <w:tab/>
            </w:r>
            <w:r w:rsidR="00497EB1">
              <w:rPr>
                <w:noProof/>
                <w:webHidden/>
              </w:rPr>
              <w:fldChar w:fldCharType="begin"/>
            </w:r>
            <w:r w:rsidR="00497EB1">
              <w:rPr>
                <w:noProof/>
                <w:webHidden/>
              </w:rPr>
              <w:instrText xml:space="preserve"> PAGEREF _Toc7180513 \h </w:instrText>
            </w:r>
            <w:r w:rsidR="00497EB1">
              <w:rPr>
                <w:noProof/>
                <w:webHidden/>
              </w:rPr>
            </w:r>
            <w:r w:rsidR="00497EB1">
              <w:rPr>
                <w:noProof/>
                <w:webHidden/>
              </w:rPr>
              <w:fldChar w:fldCharType="separate"/>
            </w:r>
            <w:r w:rsidR="006C0BD4">
              <w:rPr>
                <w:noProof/>
                <w:webHidden/>
              </w:rPr>
              <w:t>2</w:t>
            </w:r>
            <w:r w:rsidR="00497EB1">
              <w:rPr>
                <w:noProof/>
                <w:webHidden/>
              </w:rPr>
              <w:fldChar w:fldCharType="end"/>
            </w:r>
          </w:hyperlink>
        </w:p>
        <w:p w:rsidR="00497EB1" w:rsidRDefault="008C463A">
          <w:pPr>
            <w:pStyle w:val="TDC1"/>
            <w:rPr>
              <w:rFonts w:eastAsiaTheme="minorEastAsia"/>
              <w:noProof/>
              <w:lang w:eastAsia="es-MX"/>
            </w:rPr>
          </w:pPr>
          <w:hyperlink w:anchor="_Toc7180514" w:history="1">
            <w:r w:rsidR="00497EB1" w:rsidRPr="00091E0A">
              <w:rPr>
                <w:rStyle w:val="Hipervnculo"/>
                <w:rFonts w:ascii="Palatino Linotype" w:hAnsi="Palatino Linotype"/>
                <w:b/>
                <w:noProof/>
              </w:rPr>
              <w:t>II.</w:t>
            </w:r>
            <w:r w:rsidR="00497EB1">
              <w:rPr>
                <w:rFonts w:eastAsiaTheme="minorEastAsia"/>
                <w:noProof/>
                <w:lang w:eastAsia="es-MX"/>
              </w:rPr>
              <w:tab/>
            </w:r>
            <w:r w:rsidR="00497EB1" w:rsidRPr="00091E0A">
              <w:rPr>
                <w:rStyle w:val="Hipervnculo"/>
                <w:rFonts w:ascii="Palatino Linotype" w:hAnsi="Palatino Linotype"/>
                <w:b/>
                <w:noProof/>
              </w:rPr>
              <w:t>De los requerimientos planteados en el recurso de revisión.</w:t>
            </w:r>
            <w:r w:rsidR="00497EB1">
              <w:rPr>
                <w:noProof/>
                <w:webHidden/>
              </w:rPr>
              <w:tab/>
            </w:r>
            <w:r w:rsidR="00497EB1">
              <w:rPr>
                <w:noProof/>
                <w:webHidden/>
              </w:rPr>
              <w:fldChar w:fldCharType="begin"/>
            </w:r>
            <w:r w:rsidR="00497EB1">
              <w:rPr>
                <w:noProof/>
                <w:webHidden/>
              </w:rPr>
              <w:instrText xml:space="preserve"> PAGEREF _Toc7180514 \h </w:instrText>
            </w:r>
            <w:r w:rsidR="00497EB1">
              <w:rPr>
                <w:noProof/>
                <w:webHidden/>
              </w:rPr>
            </w:r>
            <w:r w:rsidR="00497EB1">
              <w:rPr>
                <w:noProof/>
                <w:webHidden/>
              </w:rPr>
              <w:fldChar w:fldCharType="separate"/>
            </w:r>
            <w:r w:rsidR="006C0BD4">
              <w:rPr>
                <w:noProof/>
                <w:webHidden/>
              </w:rPr>
              <w:t>3</w:t>
            </w:r>
            <w:r w:rsidR="00497EB1">
              <w:rPr>
                <w:noProof/>
                <w:webHidden/>
              </w:rPr>
              <w:fldChar w:fldCharType="end"/>
            </w:r>
          </w:hyperlink>
        </w:p>
        <w:p w:rsidR="00497EB1" w:rsidRDefault="008C463A">
          <w:pPr>
            <w:pStyle w:val="TDC1"/>
            <w:rPr>
              <w:rFonts w:eastAsiaTheme="minorEastAsia"/>
              <w:noProof/>
              <w:lang w:eastAsia="es-MX"/>
            </w:rPr>
          </w:pPr>
          <w:hyperlink w:anchor="_Toc7180515" w:history="1">
            <w:r w:rsidR="00497EB1" w:rsidRPr="00091E0A">
              <w:rPr>
                <w:rStyle w:val="Hipervnculo"/>
                <w:rFonts w:ascii="Palatino Linotype" w:hAnsi="Palatino Linotype"/>
                <w:b/>
                <w:noProof/>
              </w:rPr>
              <w:t>III.</w:t>
            </w:r>
            <w:r w:rsidR="00497EB1">
              <w:rPr>
                <w:rFonts w:eastAsiaTheme="minorEastAsia"/>
                <w:noProof/>
                <w:lang w:eastAsia="es-MX"/>
              </w:rPr>
              <w:tab/>
            </w:r>
            <w:r w:rsidR="00497EB1" w:rsidRPr="00091E0A">
              <w:rPr>
                <w:rStyle w:val="Hipervnculo"/>
                <w:rFonts w:ascii="Palatino Linotype" w:hAnsi="Palatino Linotype"/>
                <w:b/>
                <w:noProof/>
              </w:rPr>
              <w:t>Los actos consentidos no deben invocarse en el derecho fundamental de acceder a la información pública gubernamental.</w:t>
            </w:r>
            <w:r w:rsidR="00497EB1">
              <w:rPr>
                <w:noProof/>
                <w:webHidden/>
              </w:rPr>
              <w:tab/>
            </w:r>
            <w:r w:rsidR="00497EB1">
              <w:rPr>
                <w:noProof/>
                <w:webHidden/>
              </w:rPr>
              <w:fldChar w:fldCharType="begin"/>
            </w:r>
            <w:r w:rsidR="00497EB1">
              <w:rPr>
                <w:noProof/>
                <w:webHidden/>
              </w:rPr>
              <w:instrText xml:space="preserve"> PAGEREF _Toc7180515 \h </w:instrText>
            </w:r>
            <w:r w:rsidR="00497EB1">
              <w:rPr>
                <w:noProof/>
                <w:webHidden/>
              </w:rPr>
            </w:r>
            <w:r w:rsidR="00497EB1">
              <w:rPr>
                <w:noProof/>
                <w:webHidden/>
              </w:rPr>
              <w:fldChar w:fldCharType="separate"/>
            </w:r>
            <w:r w:rsidR="006C0BD4">
              <w:rPr>
                <w:noProof/>
                <w:webHidden/>
              </w:rPr>
              <w:t>10</w:t>
            </w:r>
            <w:r w:rsidR="00497EB1">
              <w:rPr>
                <w:noProof/>
                <w:webHidden/>
              </w:rPr>
              <w:fldChar w:fldCharType="end"/>
            </w:r>
          </w:hyperlink>
        </w:p>
        <w:p w:rsidR="0046491C" w:rsidRPr="0001046D" w:rsidRDefault="0046491C" w:rsidP="00E47A30">
          <w:pPr>
            <w:spacing w:line="600" w:lineRule="auto"/>
            <w:rPr>
              <w:rFonts w:ascii="Palatino Linotype" w:hAnsi="Palatino Linotype"/>
            </w:rPr>
          </w:pPr>
          <w:r w:rsidRPr="0001046D">
            <w:rPr>
              <w:rFonts w:ascii="Palatino Linotype" w:hAnsi="Palatino Linotype"/>
              <w:b/>
              <w:bCs/>
              <w:lang w:val="es-ES"/>
            </w:rPr>
            <w:fldChar w:fldCharType="end"/>
          </w:r>
        </w:p>
      </w:sdtContent>
    </w:sdt>
    <w:p w:rsidR="0046491C" w:rsidRPr="00805837" w:rsidRDefault="0046491C" w:rsidP="00805837">
      <w:pPr>
        <w:pStyle w:val="Ttulo1"/>
        <w:numPr>
          <w:ilvl w:val="0"/>
          <w:numId w:val="12"/>
        </w:numPr>
        <w:spacing w:line="360" w:lineRule="auto"/>
        <w:ind w:left="0" w:firstLine="0"/>
        <w:rPr>
          <w:rFonts w:ascii="Palatino Linotype" w:hAnsi="Palatino Linotype"/>
          <w:b/>
          <w:color w:val="auto"/>
          <w:sz w:val="24"/>
          <w:szCs w:val="24"/>
        </w:rPr>
      </w:pPr>
      <w:bookmarkStart w:id="0" w:name="_Toc7180513"/>
      <w:r w:rsidRPr="0001046D">
        <w:rPr>
          <w:rFonts w:ascii="Palatino Linotype" w:hAnsi="Palatino Linotype"/>
          <w:b/>
          <w:color w:val="auto"/>
          <w:sz w:val="24"/>
          <w:szCs w:val="24"/>
        </w:rPr>
        <w:t>Consideraciones Generales.</w:t>
      </w:r>
      <w:bookmarkEnd w:id="0"/>
    </w:p>
    <w:p w:rsidR="0046491C" w:rsidRPr="00C4038B" w:rsidRDefault="0046491C" w:rsidP="00C4038B">
      <w:pPr>
        <w:pStyle w:val="Prrafodelista"/>
        <w:numPr>
          <w:ilvl w:val="0"/>
          <w:numId w:val="1"/>
        </w:numPr>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00BC36AB">
        <w:rPr>
          <w:rFonts w:ascii="Palatino Linotype" w:eastAsia="Times New Roman" w:hAnsi="Palatino Linotype" w:cs="Arial"/>
          <w:sz w:val="24"/>
          <w:szCs w:val="24"/>
          <w:lang w:val="es-ES_tradnl"/>
        </w:rPr>
        <w:t xml:space="preserve"> particular en</w:t>
      </w:r>
      <w:r w:rsidRPr="00E34F08">
        <w:rPr>
          <w:rFonts w:ascii="Palatino Linotype" w:eastAsia="Times New Roman" w:hAnsi="Palatino Linotype" w:cs="Arial"/>
          <w:sz w:val="24"/>
          <w:szCs w:val="24"/>
          <w:lang w:val="es-ES_tradnl"/>
        </w:rPr>
        <w:t xml:space="preserv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C4038B">
        <w:rPr>
          <w:rFonts w:ascii="Palatino Linotype" w:hAnsi="Palatino Linotype" w:cs="Arial"/>
          <w:sz w:val="24"/>
          <w:szCs w:val="24"/>
        </w:rPr>
        <w:t xml:space="preserve"> Decima</w:t>
      </w:r>
      <w:r w:rsidR="00CF0E21">
        <w:rPr>
          <w:rFonts w:ascii="Palatino Linotype" w:hAnsi="Palatino Linotype" w:cs="Arial"/>
          <w:sz w:val="24"/>
          <w:szCs w:val="24"/>
        </w:rPr>
        <w:t xml:space="preserve"> Primera</w:t>
      </w:r>
      <w:r w:rsidR="00C4038B">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CF0E21">
        <w:rPr>
          <w:rFonts w:ascii="Palatino Linotype" w:hAnsi="Palatino Linotype" w:cs="Arial"/>
          <w:sz w:val="24"/>
          <w:szCs w:val="24"/>
        </w:rPr>
        <w:t xml:space="preserve"> fecha veintiuno </w:t>
      </w:r>
      <w:r w:rsidRPr="00E34F08">
        <w:rPr>
          <w:rFonts w:ascii="Palatino Linotype" w:hAnsi="Palatino Linotype" w:cs="Arial"/>
          <w:sz w:val="24"/>
          <w:szCs w:val="24"/>
        </w:rPr>
        <w:t>(</w:t>
      </w:r>
      <w:r w:rsidR="00CF0E21">
        <w:rPr>
          <w:rFonts w:ascii="Palatino Linotype" w:hAnsi="Palatino Linotype" w:cs="Arial"/>
          <w:sz w:val="24"/>
          <w:szCs w:val="24"/>
        </w:rPr>
        <w:t>21</w:t>
      </w:r>
      <w:r w:rsidR="00225026" w:rsidRPr="00E34F08">
        <w:rPr>
          <w:rFonts w:ascii="Palatino Linotype" w:hAnsi="Palatino Linotype" w:cs="Arial"/>
          <w:sz w:val="24"/>
          <w:szCs w:val="24"/>
        </w:rPr>
        <w:t>) de</w:t>
      </w:r>
      <w:r w:rsidR="00C4038B">
        <w:rPr>
          <w:rFonts w:ascii="Palatino Linotype" w:hAnsi="Palatino Linotype" w:cs="Arial"/>
          <w:sz w:val="24"/>
          <w:szCs w:val="24"/>
        </w:rPr>
        <w:t xml:space="preserve"> marzo de dos mil diecinueve,</w:t>
      </w:r>
      <w:r w:rsidRPr="00E34F08">
        <w:rPr>
          <w:rFonts w:ascii="Palatino Linotype" w:hAnsi="Palatino Linotype" w:cs="Arial"/>
          <w:sz w:val="24"/>
          <w:szCs w:val="24"/>
        </w:rPr>
        <w:t xml:space="preserve"> en el recurso</w:t>
      </w:r>
      <w:r w:rsidR="002C1F75" w:rsidRPr="00E34F08">
        <w:rPr>
          <w:rFonts w:ascii="Palatino Linotype" w:hAnsi="Palatino Linotype" w:cs="Arial"/>
          <w:sz w:val="24"/>
          <w:szCs w:val="24"/>
        </w:rPr>
        <w:t xml:space="preserve"> de revisión promovido</w:t>
      </w:r>
      <w:r w:rsidR="00C4038B">
        <w:rPr>
          <w:rFonts w:ascii="Palatino Linotype" w:hAnsi="Palatino Linotype" w:cs="Arial"/>
          <w:b/>
          <w:sz w:val="24"/>
          <w:szCs w:val="24"/>
        </w:rPr>
        <w:t xml:space="preserve"> </w:t>
      </w:r>
      <w:r w:rsidRPr="00C4038B">
        <w:rPr>
          <w:rFonts w:ascii="Palatino Linotype" w:hAnsi="Palatino Linotype" w:cs="Arial"/>
          <w:sz w:val="24"/>
          <w:szCs w:val="24"/>
        </w:rPr>
        <w:t>en contra de la</w:t>
      </w:r>
      <w:r w:rsidR="00902248" w:rsidRPr="00C4038B">
        <w:rPr>
          <w:rFonts w:ascii="Palatino Linotype" w:hAnsi="Palatino Linotype" w:cs="Arial"/>
          <w:sz w:val="24"/>
          <w:szCs w:val="24"/>
        </w:rPr>
        <w:t>s</w:t>
      </w:r>
      <w:r w:rsidR="00FC4635">
        <w:rPr>
          <w:rFonts w:ascii="Palatino Linotype" w:hAnsi="Palatino Linotype" w:cs="Arial"/>
          <w:sz w:val="24"/>
          <w:szCs w:val="24"/>
        </w:rPr>
        <w:t xml:space="preserve"> respuesta del </w:t>
      </w:r>
      <w:r w:rsidR="00FC4635">
        <w:rPr>
          <w:rFonts w:ascii="Palatino Linotype" w:hAnsi="Palatino Linotype" w:cs="Arial"/>
          <w:b/>
          <w:sz w:val="24"/>
          <w:szCs w:val="24"/>
        </w:rPr>
        <w:t xml:space="preserve">Ayuntamiento de </w:t>
      </w:r>
      <w:proofErr w:type="spellStart"/>
      <w:r w:rsidR="00FC4635">
        <w:rPr>
          <w:rFonts w:ascii="Palatino Linotype" w:hAnsi="Palatino Linotype" w:cs="Arial"/>
          <w:b/>
          <w:sz w:val="24"/>
          <w:szCs w:val="24"/>
        </w:rPr>
        <w:t>Acambay</w:t>
      </w:r>
      <w:proofErr w:type="spellEnd"/>
      <w:r w:rsidR="00FC4635">
        <w:rPr>
          <w:rFonts w:ascii="Palatino Linotype" w:hAnsi="Palatino Linotype" w:cs="Arial"/>
          <w:b/>
          <w:sz w:val="24"/>
          <w:szCs w:val="24"/>
        </w:rPr>
        <w:t xml:space="preserve"> de Ruiz Castañeda</w:t>
      </w:r>
      <w:r w:rsidRPr="00C4038B">
        <w:rPr>
          <w:rFonts w:ascii="Palatino Linotype" w:hAnsi="Palatino Linotype" w:cs="Arial"/>
          <w:sz w:val="24"/>
          <w:szCs w:val="24"/>
        </w:rPr>
        <w:t>, procedimiento a</w:t>
      </w:r>
      <w:r w:rsidR="0000525F" w:rsidRPr="00C4038B">
        <w:rPr>
          <w:rFonts w:ascii="Palatino Linotype" w:hAnsi="Palatino Linotype" w:cs="Arial"/>
          <w:sz w:val="24"/>
          <w:szCs w:val="24"/>
        </w:rPr>
        <w:t>l</w:t>
      </w:r>
      <w:r w:rsidR="00902248" w:rsidRPr="00C4038B">
        <w:rPr>
          <w:rFonts w:ascii="Palatino Linotype" w:hAnsi="Palatino Linotype" w:cs="Arial"/>
          <w:sz w:val="24"/>
          <w:szCs w:val="24"/>
        </w:rPr>
        <w:t xml:space="preserve"> que se le asignó </w:t>
      </w:r>
      <w:r w:rsidR="0000525F" w:rsidRPr="00C4038B">
        <w:rPr>
          <w:rFonts w:ascii="Palatino Linotype" w:hAnsi="Palatino Linotype" w:cs="Arial"/>
          <w:sz w:val="24"/>
          <w:szCs w:val="24"/>
        </w:rPr>
        <w:t>el</w:t>
      </w:r>
      <w:r w:rsidRPr="00C4038B">
        <w:rPr>
          <w:rFonts w:ascii="Palatino Linotype" w:hAnsi="Palatino Linotype" w:cs="Arial"/>
          <w:sz w:val="24"/>
          <w:szCs w:val="24"/>
        </w:rPr>
        <w:t xml:space="preserve"> número de expediente </w:t>
      </w:r>
      <w:r w:rsidR="00C4038B">
        <w:rPr>
          <w:rFonts w:ascii="Palatino Linotype" w:eastAsia="Times New Roman" w:hAnsi="Palatino Linotype" w:cs="Arial"/>
          <w:bCs/>
          <w:sz w:val="24"/>
          <w:szCs w:val="24"/>
          <w:lang w:eastAsia="es-ES"/>
        </w:rPr>
        <w:t xml:space="preserve">al rubro indicado. </w:t>
      </w:r>
    </w:p>
    <w:p w:rsidR="0000525F" w:rsidRPr="0001046D" w:rsidRDefault="0000525F" w:rsidP="00E34F08">
      <w:pPr>
        <w:pStyle w:val="Prrafodelista"/>
        <w:spacing w:after="0" w:line="360" w:lineRule="auto"/>
        <w:ind w:left="426"/>
        <w:jc w:val="both"/>
        <w:rPr>
          <w:rFonts w:ascii="Palatino Linotype" w:hAnsi="Palatino Linotype" w:cs="Arial"/>
          <w:sz w:val="24"/>
          <w:szCs w:val="24"/>
        </w:rPr>
      </w:pPr>
    </w:p>
    <w:p w:rsidR="00EA2C08" w:rsidRDefault="0046491C" w:rsidP="00BC36AB">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Resultan</w:t>
      </w:r>
      <w:r w:rsidR="00FC4635">
        <w:rPr>
          <w:rFonts w:ascii="Palatino Linotype" w:hAnsi="Palatino Linotype" w:cs="Arial"/>
          <w:sz w:val="24"/>
          <w:szCs w:val="24"/>
        </w:rPr>
        <w:t xml:space="preserve"> fundados</w:t>
      </w:r>
      <w:r w:rsidR="003837C2">
        <w:rPr>
          <w:rFonts w:ascii="Palatino Linotype" w:hAnsi="Palatino Linotype" w:cs="Arial"/>
          <w:sz w:val="24"/>
          <w:szCs w:val="24"/>
        </w:rPr>
        <w:t xml:space="preserve"> </w:t>
      </w:r>
      <w:r w:rsidR="0000525F" w:rsidRPr="0001046D">
        <w:rPr>
          <w:rFonts w:ascii="Palatino Linotype" w:hAnsi="Palatino Linotype" w:cs="Arial"/>
          <w:sz w:val="24"/>
          <w:szCs w:val="24"/>
        </w:rPr>
        <w:t>los</w:t>
      </w:r>
      <w:r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arguye </w:t>
      </w:r>
      <w:r w:rsidR="00FC4635">
        <w:rPr>
          <w:rFonts w:ascii="Palatino Linotype" w:hAnsi="Palatino Linotype" w:cs="Arial"/>
          <w:b/>
          <w:sz w:val="24"/>
          <w:szCs w:val="24"/>
        </w:rPr>
        <w:t xml:space="preserve">la </w:t>
      </w:r>
      <w:r w:rsidR="00E90EB5" w:rsidRPr="0001046D">
        <w:rPr>
          <w:rFonts w:ascii="Palatino Linotype" w:hAnsi="Palatino Linotype" w:cs="Arial"/>
          <w:b/>
          <w:sz w:val="24"/>
          <w:szCs w:val="24"/>
        </w:rPr>
        <w:t>recurrente</w:t>
      </w:r>
      <w:r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BC36AB">
        <w:rPr>
          <w:rFonts w:ascii="Palatino Linotype" w:hAnsi="Palatino Linotype" w:cs="Arial"/>
          <w:sz w:val="24"/>
          <w:szCs w:val="24"/>
        </w:rPr>
        <w:t>Quito</w:t>
      </w:r>
      <w:r w:rsidR="00CF0E21">
        <w:rPr>
          <w:rFonts w:ascii="Palatino Linotype" w:hAnsi="Palatino Linotype" w:cs="Arial"/>
          <w:sz w:val="24"/>
          <w:szCs w:val="24"/>
        </w:rPr>
        <w:t xml:space="preserve"> </w:t>
      </w:r>
      <w:r w:rsidR="00BF3534" w:rsidRPr="0001046D">
        <w:rPr>
          <w:rFonts w:ascii="Palatino Linotype" w:hAnsi="Palatino Linotype" w:cs="Arial"/>
          <w:sz w:val="24"/>
          <w:szCs w:val="24"/>
        </w:rPr>
        <w:t>de la resolución por lo que la pon</w:t>
      </w:r>
      <w:r w:rsidR="00424DE3">
        <w:rPr>
          <w:rFonts w:ascii="Palatino Linotype" w:hAnsi="Palatino Linotype" w:cs="Arial"/>
          <w:sz w:val="24"/>
          <w:szCs w:val="24"/>
        </w:rPr>
        <w:t>encia encargada consideró</w:t>
      </w:r>
      <w:r w:rsidR="00CF0E21">
        <w:rPr>
          <w:rFonts w:ascii="Palatino Linotype" w:hAnsi="Palatino Linotype" w:cs="Arial"/>
          <w:sz w:val="24"/>
          <w:szCs w:val="24"/>
        </w:rPr>
        <w:t xml:space="preserve"> </w:t>
      </w:r>
      <w:r w:rsidR="00FC4635">
        <w:rPr>
          <w:rFonts w:ascii="Palatino Linotype" w:hAnsi="Palatino Linotype" w:cs="Arial"/>
          <w:sz w:val="24"/>
          <w:szCs w:val="24"/>
        </w:rPr>
        <w:t xml:space="preserve">modificar </w:t>
      </w:r>
      <w:r w:rsidR="008E1DCC">
        <w:rPr>
          <w:rFonts w:ascii="Palatino Linotype" w:hAnsi="Palatino Linotype" w:cs="Arial"/>
          <w:sz w:val="24"/>
          <w:szCs w:val="24"/>
        </w:rPr>
        <w:t>l</w:t>
      </w:r>
      <w:r w:rsidR="003837C2">
        <w:rPr>
          <w:rFonts w:ascii="Palatino Linotype" w:hAnsi="Palatino Linotype" w:cs="Arial"/>
          <w:sz w:val="24"/>
          <w:szCs w:val="24"/>
        </w:rPr>
        <w:t xml:space="preserve">a respuesta del Sujeto Obligado, </w:t>
      </w:r>
      <w:r w:rsidR="00CF0E21">
        <w:rPr>
          <w:rFonts w:ascii="Palatino Linotype" w:hAnsi="Palatino Linotype" w:cs="Arial"/>
          <w:sz w:val="24"/>
          <w:szCs w:val="24"/>
        </w:rPr>
        <w:t xml:space="preserve">en ese sentido </w:t>
      </w:r>
      <w:r w:rsidR="003837C2">
        <w:rPr>
          <w:rFonts w:ascii="Palatino Linotype" w:hAnsi="Palatino Linotype" w:cs="Arial"/>
          <w:sz w:val="24"/>
          <w:szCs w:val="24"/>
        </w:rPr>
        <w:t>m</w:t>
      </w:r>
      <w:r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Pr="003837C2">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BC36AB" w:rsidRPr="00BC36AB" w:rsidRDefault="00BC36AB" w:rsidP="00BC36AB">
      <w:pPr>
        <w:pStyle w:val="Prrafodelista"/>
        <w:spacing w:before="240" w:after="240" w:line="360" w:lineRule="auto"/>
        <w:ind w:left="0" w:right="49"/>
        <w:jc w:val="both"/>
        <w:rPr>
          <w:rFonts w:ascii="Palatino Linotype" w:hAnsi="Palatino Linotype" w:cs="Arial"/>
          <w:sz w:val="24"/>
          <w:szCs w:val="24"/>
        </w:rPr>
      </w:pPr>
    </w:p>
    <w:p w:rsidR="0046491C" w:rsidRDefault="0046491C" w:rsidP="00EA2C08">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Default="0046491C" w:rsidP="00805837">
      <w:pPr>
        <w:pStyle w:val="Ttulo1"/>
        <w:numPr>
          <w:ilvl w:val="0"/>
          <w:numId w:val="12"/>
        </w:numPr>
        <w:spacing w:line="360" w:lineRule="auto"/>
        <w:ind w:left="0" w:firstLine="0"/>
        <w:rPr>
          <w:rFonts w:ascii="Palatino Linotype" w:hAnsi="Palatino Linotype"/>
          <w:b/>
          <w:color w:val="auto"/>
          <w:sz w:val="24"/>
          <w:szCs w:val="24"/>
        </w:rPr>
      </w:pPr>
      <w:bookmarkStart w:id="1" w:name="_Toc7180514"/>
      <w:r w:rsidRPr="0001046D">
        <w:rPr>
          <w:rFonts w:ascii="Palatino Linotype" w:hAnsi="Palatino Linotype"/>
          <w:b/>
          <w:color w:val="auto"/>
          <w:sz w:val="24"/>
          <w:szCs w:val="24"/>
        </w:rPr>
        <w:t>De los requerimientos planteados en el recurso de revisión.</w:t>
      </w:r>
      <w:bookmarkEnd w:id="1"/>
    </w:p>
    <w:p w:rsidR="00497EB1" w:rsidRPr="00497EB1" w:rsidRDefault="00497EB1" w:rsidP="00497EB1"/>
    <w:p w:rsidR="009B4E7D" w:rsidRPr="009B4E7D" w:rsidRDefault="008E1DCC" w:rsidP="00E3532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del </w:t>
      </w:r>
      <w:r w:rsidR="00497EB1">
        <w:rPr>
          <w:rFonts w:ascii="Palatino Linotype" w:hAnsi="Palatino Linotype" w:cs="Arial"/>
          <w:b/>
          <w:sz w:val="24"/>
          <w:szCs w:val="24"/>
        </w:rPr>
        <w:t xml:space="preserve">Ayuntamiento de </w:t>
      </w:r>
      <w:proofErr w:type="spellStart"/>
      <w:r w:rsidR="00497EB1">
        <w:rPr>
          <w:rFonts w:ascii="Palatino Linotype" w:hAnsi="Palatino Linotype" w:cs="Arial"/>
          <w:b/>
          <w:sz w:val="24"/>
          <w:szCs w:val="24"/>
        </w:rPr>
        <w:t>Acambay</w:t>
      </w:r>
      <w:proofErr w:type="spellEnd"/>
      <w:r w:rsidR="00497EB1">
        <w:rPr>
          <w:rFonts w:ascii="Palatino Linotype" w:hAnsi="Palatino Linotype" w:cs="Arial"/>
          <w:b/>
          <w:sz w:val="24"/>
          <w:szCs w:val="24"/>
        </w:rPr>
        <w:t xml:space="preserve"> de Ruiz Castañeda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46491C"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 xml:space="preserve"> </w:t>
      </w:r>
    </w:p>
    <w:p w:rsidR="00FC4635" w:rsidRPr="00FC4635" w:rsidRDefault="00FC4635" w:rsidP="00A5491E">
      <w:pPr>
        <w:spacing w:after="0" w:line="360" w:lineRule="auto"/>
        <w:ind w:left="709" w:right="709"/>
        <w:jc w:val="both"/>
        <w:rPr>
          <w:rFonts w:ascii="Palatino Linotype" w:eastAsia="Times New Roman" w:hAnsi="Palatino Linotype" w:cs="Times New Roman"/>
          <w:i/>
          <w:lang w:eastAsia="es-ES"/>
        </w:rPr>
      </w:pPr>
      <w:r w:rsidRPr="00FC4635">
        <w:rPr>
          <w:rFonts w:ascii="Palatino Linotype" w:eastAsia="Times New Roman" w:hAnsi="Palatino Linotype" w:cs="Arial"/>
          <w:i/>
          <w:lang w:eastAsia="es-ES"/>
        </w:rPr>
        <w:t xml:space="preserve">“Nombres y grado máximo de estudios de cada uno de las integrantes del cabildo del ayuntamiento de </w:t>
      </w:r>
      <w:proofErr w:type="spellStart"/>
      <w:r w:rsidRPr="00FC4635">
        <w:rPr>
          <w:rFonts w:ascii="Palatino Linotype" w:eastAsia="Times New Roman" w:hAnsi="Palatino Linotype" w:cs="Arial"/>
          <w:i/>
          <w:lang w:eastAsia="es-ES"/>
        </w:rPr>
        <w:t>Acambay</w:t>
      </w:r>
      <w:proofErr w:type="spellEnd"/>
      <w:r w:rsidRPr="00FC4635">
        <w:rPr>
          <w:rFonts w:ascii="Palatino Linotype" w:eastAsia="Times New Roman" w:hAnsi="Palatino Linotype" w:cs="Arial"/>
          <w:i/>
          <w:lang w:eastAsia="es-ES"/>
        </w:rPr>
        <w:t xml:space="preserve"> 2019-2021, nombre y grado máximo de estudios de directores, coordinadores, secretario del ayuntamiento, nómina del ayuntamiento 2019-2021 desglosado por sueldo base y gratificaciones de cada uno de los trabajadores del ayuntamiento 2019-2021 de </w:t>
      </w:r>
      <w:proofErr w:type="spellStart"/>
      <w:r w:rsidRPr="00FC4635">
        <w:rPr>
          <w:rFonts w:ascii="Palatino Linotype" w:eastAsia="Times New Roman" w:hAnsi="Palatino Linotype" w:cs="Arial"/>
          <w:i/>
          <w:lang w:eastAsia="es-ES"/>
        </w:rPr>
        <w:t>Acambay</w:t>
      </w:r>
      <w:proofErr w:type="spellEnd"/>
      <w:r w:rsidRPr="00FC4635">
        <w:rPr>
          <w:rFonts w:ascii="Palatino Linotype" w:eastAsia="Times New Roman" w:hAnsi="Palatino Linotype" w:cs="Arial"/>
          <w:i/>
          <w:lang w:eastAsia="es-ES"/>
        </w:rPr>
        <w:t xml:space="preserve">, nombre y cargo de los trabajadores así como su cargo y escolaridad que se han contratado a partir del 1 de enero de 2019 en el ayuntamiento de </w:t>
      </w:r>
      <w:proofErr w:type="spellStart"/>
      <w:r w:rsidRPr="00FC4635">
        <w:rPr>
          <w:rFonts w:ascii="Palatino Linotype" w:eastAsia="Times New Roman" w:hAnsi="Palatino Linotype" w:cs="Arial"/>
          <w:i/>
          <w:lang w:eastAsia="es-ES"/>
        </w:rPr>
        <w:t>Acambay</w:t>
      </w:r>
      <w:proofErr w:type="spellEnd"/>
      <w:r w:rsidRPr="00FC4635">
        <w:rPr>
          <w:rFonts w:ascii="Palatino Linotype" w:eastAsia="Times New Roman" w:hAnsi="Palatino Linotype" w:cs="Arial"/>
          <w:i/>
          <w:lang w:eastAsia="es-ES"/>
        </w:rPr>
        <w:t xml:space="preserve">, declaración 3 de 3 de la presidenta municipal de </w:t>
      </w:r>
      <w:proofErr w:type="spellStart"/>
      <w:r w:rsidRPr="00FC4635">
        <w:rPr>
          <w:rFonts w:ascii="Palatino Linotype" w:eastAsia="Times New Roman" w:hAnsi="Palatino Linotype" w:cs="Arial"/>
          <w:i/>
          <w:lang w:eastAsia="es-ES"/>
        </w:rPr>
        <w:t>Acambay</w:t>
      </w:r>
      <w:proofErr w:type="spellEnd"/>
      <w:r w:rsidRPr="00FC4635">
        <w:rPr>
          <w:rFonts w:ascii="Palatino Linotype" w:eastAsia="Times New Roman" w:hAnsi="Palatino Linotype" w:cs="Arial"/>
          <w:i/>
          <w:lang w:eastAsia="es-ES"/>
        </w:rPr>
        <w:t xml:space="preserve"> así como la de los integrantes del cabildo y del </w:t>
      </w:r>
      <w:proofErr w:type="spellStart"/>
      <w:r w:rsidRPr="00FC4635">
        <w:rPr>
          <w:rFonts w:ascii="Palatino Linotype" w:eastAsia="Times New Roman" w:hAnsi="Palatino Linotype" w:cs="Arial"/>
          <w:i/>
          <w:lang w:eastAsia="es-ES"/>
        </w:rPr>
        <w:t>DIFmunicipal</w:t>
      </w:r>
      <w:proofErr w:type="spellEnd"/>
      <w:r w:rsidRPr="00FC4635">
        <w:rPr>
          <w:rFonts w:ascii="Palatino Linotype" w:eastAsia="Times New Roman" w:hAnsi="Palatino Linotype" w:cs="Arial"/>
          <w:i/>
          <w:lang w:eastAsia="es-ES"/>
        </w:rPr>
        <w:t xml:space="preserve"> de </w:t>
      </w:r>
      <w:proofErr w:type="spellStart"/>
      <w:r w:rsidRPr="00FC4635">
        <w:rPr>
          <w:rFonts w:ascii="Palatino Linotype" w:eastAsia="Times New Roman" w:hAnsi="Palatino Linotype" w:cs="Arial"/>
          <w:i/>
          <w:lang w:eastAsia="es-ES"/>
        </w:rPr>
        <w:t>acambay</w:t>
      </w:r>
      <w:proofErr w:type="spellEnd"/>
      <w:r w:rsidRPr="00FC4635">
        <w:rPr>
          <w:rFonts w:ascii="Palatino Linotype" w:eastAsia="Times New Roman" w:hAnsi="Palatino Linotype" w:cs="Arial"/>
          <w:i/>
          <w:lang w:eastAsia="es-ES"/>
        </w:rPr>
        <w:t xml:space="preserve">, obras públicas en ejecución a partir del 1 de enero de 2019 del ayuntamiento de </w:t>
      </w:r>
      <w:proofErr w:type="spellStart"/>
      <w:r w:rsidRPr="00FC4635">
        <w:rPr>
          <w:rFonts w:ascii="Palatino Linotype" w:eastAsia="Times New Roman" w:hAnsi="Palatino Linotype" w:cs="Arial"/>
          <w:i/>
          <w:lang w:eastAsia="es-ES"/>
        </w:rPr>
        <w:t>Acambay</w:t>
      </w:r>
      <w:proofErr w:type="spellEnd"/>
      <w:r w:rsidRPr="00FC4635">
        <w:rPr>
          <w:rFonts w:ascii="Palatino Linotype" w:eastAsia="Times New Roman" w:hAnsi="Palatino Linotype" w:cs="Arial"/>
          <w:i/>
          <w:lang w:eastAsia="es-ES"/>
        </w:rPr>
        <w:t xml:space="preserve">, </w:t>
      </w:r>
      <w:proofErr w:type="spellStart"/>
      <w:r w:rsidRPr="00FC4635">
        <w:rPr>
          <w:rFonts w:ascii="Palatino Linotype" w:eastAsia="Times New Roman" w:hAnsi="Palatino Linotype" w:cs="Arial"/>
          <w:i/>
          <w:lang w:eastAsia="es-ES"/>
        </w:rPr>
        <w:t>cuealnoes</w:t>
      </w:r>
      <w:proofErr w:type="spellEnd"/>
      <w:r w:rsidRPr="00FC4635">
        <w:rPr>
          <w:rFonts w:ascii="Palatino Linotype" w:eastAsia="Times New Roman" w:hAnsi="Palatino Linotype" w:cs="Arial"/>
          <w:i/>
          <w:lang w:eastAsia="es-ES"/>
        </w:rPr>
        <w:t xml:space="preserve"> el monto de la deuda pública del municipio de </w:t>
      </w:r>
      <w:proofErr w:type="spellStart"/>
      <w:r w:rsidRPr="00FC4635">
        <w:rPr>
          <w:rFonts w:ascii="Palatino Linotype" w:eastAsia="Times New Roman" w:hAnsi="Palatino Linotype" w:cs="Arial"/>
          <w:i/>
          <w:lang w:eastAsia="es-ES"/>
        </w:rPr>
        <w:t>Acambay</w:t>
      </w:r>
      <w:proofErr w:type="spellEnd"/>
      <w:r w:rsidRPr="00FC4635">
        <w:rPr>
          <w:rFonts w:ascii="Palatino Linotype" w:eastAsia="Times New Roman" w:hAnsi="Palatino Linotype" w:cs="Arial"/>
          <w:i/>
          <w:lang w:eastAsia="es-ES"/>
        </w:rPr>
        <w:t xml:space="preserve">.” </w:t>
      </w:r>
      <w:r w:rsidRPr="00FC4635">
        <w:rPr>
          <w:rFonts w:ascii="Palatino Linotype" w:eastAsia="Times New Roman" w:hAnsi="Palatino Linotype" w:cs="Times New Roman"/>
          <w:i/>
          <w:lang w:eastAsia="es-ES"/>
        </w:rPr>
        <w:t>(Sic)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AE4797" w:rsidP="00EA2C08">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Sujeto Obligado </w:t>
      </w:r>
      <w:r w:rsidR="00444048">
        <w:rPr>
          <w:rFonts w:ascii="Palatino Linotype" w:hAnsi="Palatino Linotype" w:cs="Arial"/>
          <w:sz w:val="24"/>
          <w:szCs w:val="24"/>
        </w:rPr>
        <w:t>mediante</w:t>
      </w:r>
      <w:r w:rsidR="008D4B3A">
        <w:rPr>
          <w:rFonts w:ascii="Palatino Linotype" w:hAnsi="Palatino Linotype" w:cs="Arial"/>
          <w:sz w:val="24"/>
          <w:szCs w:val="24"/>
        </w:rPr>
        <w:t xml:space="preserve"> su escrito 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9B4E7D" w:rsidRPr="00AE4797" w:rsidRDefault="009B4E7D"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FC4635" w:rsidRPr="00FC4635" w:rsidRDefault="009B4E7D" w:rsidP="00FC4635">
      <w:pPr>
        <w:pStyle w:val="Prrafodelista"/>
        <w:spacing w:after="0" w:line="360" w:lineRule="auto"/>
        <w:ind w:left="567" w:right="616"/>
        <w:jc w:val="right"/>
        <w:rPr>
          <w:rFonts w:ascii="Palatino Linotype" w:eastAsia="Times New Roman" w:hAnsi="Palatino Linotype" w:cs="Times New Roman"/>
          <w:i/>
          <w:sz w:val="24"/>
          <w:szCs w:val="24"/>
          <w:lang w:val="es-ES_tradnl" w:eastAsia="es-ES"/>
        </w:rPr>
      </w:pPr>
      <w:r w:rsidRPr="009B4E7D">
        <w:rPr>
          <w:rFonts w:ascii="Palatino Linotype" w:eastAsia="Times New Roman" w:hAnsi="Palatino Linotype" w:cs="Times New Roman"/>
          <w:i/>
          <w:sz w:val="24"/>
          <w:szCs w:val="24"/>
          <w:lang w:val="es-ES_tradnl" w:eastAsia="es-ES"/>
        </w:rPr>
        <w:t>“</w:t>
      </w:r>
      <w:proofErr w:type="spellStart"/>
      <w:r w:rsidR="00FC4635" w:rsidRPr="00FC4635">
        <w:rPr>
          <w:rFonts w:ascii="Palatino Linotype" w:eastAsia="Times New Roman" w:hAnsi="Palatino Linotype" w:cs="Times New Roman"/>
          <w:i/>
          <w:sz w:val="24"/>
          <w:szCs w:val="24"/>
          <w:lang w:val="es-ES_tradnl" w:eastAsia="es-ES"/>
        </w:rPr>
        <w:t>Acambay</w:t>
      </w:r>
      <w:proofErr w:type="spellEnd"/>
      <w:r w:rsidR="00FC4635" w:rsidRPr="00FC4635">
        <w:rPr>
          <w:rFonts w:ascii="Palatino Linotype" w:eastAsia="Times New Roman" w:hAnsi="Palatino Linotype" w:cs="Times New Roman"/>
          <w:i/>
          <w:sz w:val="24"/>
          <w:szCs w:val="24"/>
          <w:lang w:val="es-ES_tradnl" w:eastAsia="es-ES"/>
        </w:rPr>
        <w:t xml:space="preserve"> de Ruíz Castañeda, México a 18 de Febrero de 2019</w:t>
      </w:r>
    </w:p>
    <w:p w:rsidR="00FC4635" w:rsidRPr="00FC4635" w:rsidRDefault="00FC4635" w:rsidP="00FC4635">
      <w:pPr>
        <w:pStyle w:val="Prrafodelista"/>
        <w:spacing w:after="0" w:line="360" w:lineRule="auto"/>
        <w:ind w:left="567" w:right="616"/>
        <w:jc w:val="right"/>
        <w:rPr>
          <w:rFonts w:ascii="Palatino Linotype" w:eastAsia="Times New Roman" w:hAnsi="Palatino Linotype" w:cs="Times New Roman"/>
          <w:i/>
          <w:sz w:val="24"/>
          <w:szCs w:val="24"/>
          <w:lang w:val="es-ES_tradnl" w:eastAsia="es-ES"/>
        </w:rPr>
      </w:pPr>
      <w:r w:rsidRPr="00FC4635">
        <w:rPr>
          <w:rFonts w:ascii="Palatino Linotype" w:eastAsia="Times New Roman" w:hAnsi="Palatino Linotype" w:cs="Times New Roman"/>
          <w:i/>
          <w:sz w:val="24"/>
          <w:szCs w:val="24"/>
          <w:lang w:val="es-ES_tradnl" w:eastAsia="es-ES"/>
        </w:rPr>
        <w:t xml:space="preserve">Nombre del solicitante: </w:t>
      </w:r>
      <w:r w:rsidR="008C463A" w:rsidRPr="008C463A">
        <w:rPr>
          <w:rFonts w:ascii="Palatino Linotype" w:eastAsia="Times New Roman" w:hAnsi="Palatino Linotype" w:cs="Times New Roman"/>
          <w:i/>
          <w:sz w:val="24"/>
          <w:szCs w:val="24"/>
          <w:highlight w:val="black"/>
          <w:lang w:val="es-ES_tradnl" w:eastAsia="es-ES"/>
        </w:rPr>
        <w:t>-------------------------------------------------------------</w:t>
      </w:r>
    </w:p>
    <w:p w:rsidR="00FC4635" w:rsidRPr="00FC4635" w:rsidRDefault="00FC4635" w:rsidP="00FC4635">
      <w:pPr>
        <w:pStyle w:val="Prrafodelista"/>
        <w:spacing w:after="0" w:line="360" w:lineRule="auto"/>
        <w:ind w:left="567" w:right="616"/>
        <w:jc w:val="right"/>
        <w:rPr>
          <w:rFonts w:ascii="Palatino Linotype" w:eastAsia="Times New Roman" w:hAnsi="Palatino Linotype" w:cs="Times New Roman"/>
          <w:i/>
          <w:sz w:val="24"/>
          <w:szCs w:val="24"/>
          <w:lang w:val="es-ES_tradnl" w:eastAsia="es-ES"/>
        </w:rPr>
      </w:pPr>
      <w:r w:rsidRPr="00FC4635">
        <w:rPr>
          <w:rFonts w:ascii="Palatino Linotype" w:eastAsia="Times New Roman" w:hAnsi="Palatino Linotype" w:cs="Times New Roman"/>
          <w:i/>
          <w:sz w:val="24"/>
          <w:szCs w:val="24"/>
          <w:lang w:val="es-ES_tradnl" w:eastAsia="es-ES"/>
        </w:rPr>
        <w:t>Folio de la solicitud: 00024/ACAMBAY/IP/2019</w:t>
      </w:r>
    </w:p>
    <w:p w:rsidR="00FC4635" w:rsidRPr="00FC4635" w:rsidRDefault="00FC4635" w:rsidP="00FC4635">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roofErr w:type="spellStart"/>
      <w:r w:rsidRPr="00FC4635">
        <w:rPr>
          <w:rFonts w:ascii="Palatino Linotype" w:eastAsia="Times New Roman" w:hAnsi="Palatino Linotype" w:cs="Times New Roman"/>
          <w:i/>
          <w:sz w:val="24"/>
          <w:szCs w:val="24"/>
          <w:lang w:val="es-ES_tradnl" w:eastAsia="es-ES"/>
        </w:rPr>
        <w:t>Acambay</w:t>
      </w:r>
      <w:proofErr w:type="spellEnd"/>
      <w:r w:rsidRPr="00FC4635">
        <w:rPr>
          <w:rFonts w:ascii="Palatino Linotype" w:eastAsia="Times New Roman" w:hAnsi="Palatino Linotype" w:cs="Times New Roman"/>
          <w:i/>
          <w:sz w:val="24"/>
          <w:szCs w:val="24"/>
          <w:lang w:val="es-ES_tradnl" w:eastAsia="es-ES"/>
        </w:rPr>
        <w:t xml:space="preserve"> de Ruíz Castañeda, México a 18 de febrero de 2019 Nombre del solicitante: </w:t>
      </w:r>
      <w:r w:rsidR="008C463A" w:rsidRPr="008C463A">
        <w:rPr>
          <w:rFonts w:ascii="Palatino Linotype" w:eastAsia="Times New Roman" w:hAnsi="Palatino Linotype" w:cs="Times New Roman"/>
          <w:i/>
          <w:sz w:val="24"/>
          <w:szCs w:val="24"/>
          <w:highlight w:val="black"/>
          <w:lang w:val="es-ES_tradnl" w:eastAsia="es-ES"/>
        </w:rPr>
        <w:t>----------------------------------------</w:t>
      </w:r>
      <w:r w:rsidRPr="00FC4635">
        <w:rPr>
          <w:rFonts w:ascii="Palatino Linotype" w:eastAsia="Times New Roman" w:hAnsi="Palatino Linotype" w:cs="Times New Roman"/>
          <w:i/>
          <w:sz w:val="24"/>
          <w:szCs w:val="24"/>
          <w:lang w:val="es-ES_tradnl" w:eastAsia="es-ES"/>
        </w:rPr>
        <w:t xml:space="preserve">. Folio de la solicitud: 00024/ACAMBAY/IP/2019 En atención a su solicitud de información No. 00024/ACAMBAY/IP/2019, recibida por esta dependencia vía Sistema Electrónico Denominado Sistema de Acceso a la Información Mexiquense (SAIMEX) de fecha 29 de Enero de 2019, dirigida al Ayuntamiento de </w:t>
      </w:r>
      <w:proofErr w:type="spellStart"/>
      <w:r w:rsidRPr="00FC4635">
        <w:rPr>
          <w:rFonts w:ascii="Palatino Linotype" w:eastAsia="Times New Roman" w:hAnsi="Palatino Linotype" w:cs="Times New Roman"/>
          <w:i/>
          <w:sz w:val="24"/>
          <w:szCs w:val="24"/>
          <w:lang w:val="es-ES_tradnl" w:eastAsia="es-ES"/>
        </w:rPr>
        <w:t>Acambay</w:t>
      </w:r>
      <w:proofErr w:type="spellEnd"/>
      <w:r w:rsidRPr="00FC4635">
        <w:rPr>
          <w:rFonts w:ascii="Palatino Linotype" w:eastAsia="Times New Roman" w:hAnsi="Palatino Linotype" w:cs="Times New Roman"/>
          <w:i/>
          <w:sz w:val="24"/>
          <w:szCs w:val="24"/>
          <w:lang w:val="es-ES_tradnl" w:eastAsia="es-ES"/>
        </w:rPr>
        <w:t xml:space="preserve"> de Ruiz Castañeda, Estado de México, como sujeto Obligado de la Ley de Transparencia y Acceso a la Información Pública del Estado de México y Municipios. Se determina que le corresponde a este Ayuntamiento como Sujeto Obligado entregar lo siguiente referente a su petición: 1. Se remiten copias simples en formato PDF de la respuesta emitida por el Sujeto Habilitado titular de la Dirección de Administración, Tesorería Municipal, Contraloría interna Municipal, Dirección de obras públicas y desarrollo urbano de </w:t>
      </w:r>
      <w:proofErr w:type="spellStart"/>
      <w:r w:rsidRPr="00FC4635">
        <w:rPr>
          <w:rFonts w:ascii="Palatino Linotype" w:eastAsia="Times New Roman" w:hAnsi="Palatino Linotype" w:cs="Times New Roman"/>
          <w:i/>
          <w:sz w:val="24"/>
          <w:szCs w:val="24"/>
          <w:lang w:val="es-ES_tradnl" w:eastAsia="es-ES"/>
        </w:rPr>
        <w:t>Acambay</w:t>
      </w:r>
      <w:proofErr w:type="spellEnd"/>
      <w:r w:rsidRPr="00FC4635">
        <w:rPr>
          <w:rFonts w:ascii="Palatino Linotype" w:eastAsia="Times New Roman" w:hAnsi="Palatino Linotype" w:cs="Times New Roman"/>
          <w:i/>
          <w:sz w:val="24"/>
          <w:szCs w:val="24"/>
          <w:lang w:val="es-ES_tradnl" w:eastAsia="es-ES"/>
        </w:rPr>
        <w:t xml:space="preserve"> de Ruiz Castañeda, Estado de México, dando así contestación al solicitante respecto de su petición, manifestando que la información proporcionada es la única que obra en los archivos municipales, de conformidad con lo que establece el </w:t>
      </w:r>
      <w:proofErr w:type="spellStart"/>
      <w:r w:rsidRPr="00FC4635">
        <w:rPr>
          <w:rFonts w:ascii="Palatino Linotype" w:eastAsia="Times New Roman" w:hAnsi="Palatino Linotype" w:cs="Times New Roman"/>
          <w:i/>
          <w:sz w:val="24"/>
          <w:szCs w:val="24"/>
          <w:lang w:val="es-ES_tradnl" w:eastAsia="es-ES"/>
        </w:rPr>
        <w:t>parrafo</w:t>
      </w:r>
      <w:proofErr w:type="spellEnd"/>
      <w:r w:rsidRPr="00FC4635">
        <w:rPr>
          <w:rFonts w:ascii="Palatino Linotype" w:eastAsia="Times New Roman" w:hAnsi="Palatino Linotype" w:cs="Times New Roman"/>
          <w:i/>
          <w:sz w:val="24"/>
          <w:szCs w:val="24"/>
          <w:lang w:val="es-ES_tradnl" w:eastAsia="es-ES"/>
        </w:rPr>
        <w:t xml:space="preserve"> segundo del artículo 12 de la Ley de Transparencia y Acceso a la Información Pública del Estado de México y Municipios. ATENTAMENTE Lic. LEILY ARELY CHÁVEZ RUIZ Responsable de la Unidad de Transparencia Ayuntamiento de </w:t>
      </w:r>
      <w:proofErr w:type="spellStart"/>
      <w:r w:rsidRPr="00FC4635">
        <w:rPr>
          <w:rFonts w:ascii="Palatino Linotype" w:eastAsia="Times New Roman" w:hAnsi="Palatino Linotype" w:cs="Times New Roman"/>
          <w:i/>
          <w:sz w:val="24"/>
          <w:szCs w:val="24"/>
          <w:lang w:val="es-ES_tradnl" w:eastAsia="es-ES"/>
        </w:rPr>
        <w:t>Acambay</w:t>
      </w:r>
      <w:proofErr w:type="spellEnd"/>
      <w:r w:rsidRPr="00FC4635">
        <w:rPr>
          <w:rFonts w:ascii="Palatino Linotype" w:eastAsia="Times New Roman" w:hAnsi="Palatino Linotype" w:cs="Times New Roman"/>
          <w:i/>
          <w:sz w:val="24"/>
          <w:szCs w:val="24"/>
          <w:lang w:val="es-ES_tradnl" w:eastAsia="es-ES"/>
        </w:rPr>
        <w:t xml:space="preserve"> de Ruíz Castañeda</w:t>
      </w:r>
    </w:p>
    <w:p w:rsidR="00FC4635" w:rsidRPr="00FC4635" w:rsidRDefault="00FC4635" w:rsidP="00FC4635">
      <w:pPr>
        <w:pStyle w:val="Prrafodelista"/>
        <w:spacing w:after="0" w:line="360" w:lineRule="auto"/>
        <w:ind w:left="567" w:right="616"/>
        <w:rPr>
          <w:rFonts w:ascii="Palatino Linotype" w:eastAsia="Times New Roman" w:hAnsi="Palatino Linotype" w:cs="Times New Roman"/>
          <w:i/>
          <w:sz w:val="24"/>
          <w:szCs w:val="24"/>
          <w:lang w:val="es-ES_tradnl" w:eastAsia="es-ES"/>
        </w:rPr>
      </w:pPr>
      <w:r w:rsidRPr="00FC4635">
        <w:rPr>
          <w:rFonts w:ascii="Palatino Linotype" w:eastAsia="Times New Roman" w:hAnsi="Palatino Linotype" w:cs="Times New Roman"/>
          <w:i/>
          <w:sz w:val="24"/>
          <w:szCs w:val="24"/>
          <w:lang w:val="es-ES_tradnl" w:eastAsia="es-ES"/>
        </w:rPr>
        <w:t>ATENTAMENTE</w:t>
      </w:r>
    </w:p>
    <w:p w:rsidR="009F1B31" w:rsidRDefault="00FC4635" w:rsidP="009F1B31">
      <w:pPr>
        <w:pStyle w:val="Prrafodelista"/>
        <w:spacing w:after="0" w:line="360" w:lineRule="auto"/>
        <w:ind w:left="567" w:right="616"/>
        <w:rPr>
          <w:rFonts w:ascii="Palatino Linotype" w:eastAsia="Times New Roman" w:hAnsi="Palatino Linotype" w:cs="Times New Roman"/>
          <w:i/>
          <w:sz w:val="24"/>
          <w:szCs w:val="24"/>
          <w:lang w:val="es-ES_tradnl" w:eastAsia="es-ES"/>
        </w:rPr>
      </w:pPr>
      <w:r w:rsidRPr="00FC4635">
        <w:rPr>
          <w:rFonts w:ascii="Palatino Linotype" w:eastAsia="Times New Roman" w:hAnsi="Palatino Linotype" w:cs="Times New Roman"/>
          <w:i/>
          <w:sz w:val="24"/>
          <w:szCs w:val="24"/>
          <w:lang w:val="es-ES_tradnl" w:eastAsia="es-ES"/>
        </w:rPr>
        <w:t xml:space="preserve">Lic. </w:t>
      </w:r>
      <w:proofErr w:type="spellStart"/>
      <w:r w:rsidRPr="00FC4635">
        <w:rPr>
          <w:rFonts w:ascii="Palatino Linotype" w:eastAsia="Times New Roman" w:hAnsi="Palatino Linotype" w:cs="Times New Roman"/>
          <w:i/>
          <w:sz w:val="24"/>
          <w:szCs w:val="24"/>
          <w:lang w:val="es-ES_tradnl" w:eastAsia="es-ES"/>
        </w:rPr>
        <w:t>Leily</w:t>
      </w:r>
      <w:proofErr w:type="spellEnd"/>
      <w:r w:rsidRPr="00FC4635">
        <w:rPr>
          <w:rFonts w:ascii="Palatino Linotype" w:eastAsia="Times New Roman" w:hAnsi="Palatino Linotype" w:cs="Times New Roman"/>
          <w:i/>
          <w:sz w:val="24"/>
          <w:szCs w:val="24"/>
          <w:lang w:val="es-ES_tradnl" w:eastAsia="es-ES"/>
        </w:rPr>
        <w:t xml:space="preserve"> Arely Chávez Ruiz</w:t>
      </w:r>
      <w:r w:rsidR="009B4E7D" w:rsidRPr="00FC4635">
        <w:rPr>
          <w:rFonts w:ascii="Palatino Linotype" w:eastAsia="Times New Roman" w:hAnsi="Palatino Linotype" w:cs="Times New Roman"/>
          <w:i/>
          <w:sz w:val="24"/>
          <w:szCs w:val="24"/>
          <w:lang w:val="es-ES_tradnl" w:eastAsia="es-ES"/>
        </w:rPr>
        <w:t>” (Sic)</w:t>
      </w:r>
    </w:p>
    <w:p w:rsidR="009F1B31" w:rsidRPr="009F1B31" w:rsidRDefault="009F1B31" w:rsidP="009F1B31">
      <w:pPr>
        <w:pStyle w:val="Prrafodelista"/>
        <w:spacing w:after="0" w:line="360" w:lineRule="auto"/>
        <w:ind w:left="567" w:right="616"/>
        <w:rPr>
          <w:rFonts w:ascii="Palatino Linotype" w:eastAsia="Times New Roman" w:hAnsi="Palatino Linotype" w:cs="Times New Roman"/>
          <w:i/>
          <w:sz w:val="24"/>
          <w:szCs w:val="24"/>
          <w:lang w:val="es-ES_tradnl" w:eastAsia="es-ES"/>
        </w:rPr>
      </w:pPr>
    </w:p>
    <w:p w:rsidR="00FE23FD" w:rsidRDefault="00FE23FD" w:rsidP="004F5418">
      <w:pPr>
        <w:pStyle w:val="Prrafodelista"/>
        <w:numPr>
          <w:ilvl w:val="0"/>
          <w:numId w:val="1"/>
        </w:numPr>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A dicho escrito se anexó el siguiente </w:t>
      </w:r>
      <w:r w:rsidR="00587C4C">
        <w:rPr>
          <w:rFonts w:ascii="Palatino Linotype" w:hAnsi="Palatino Linotype" w:cs="Arial"/>
          <w:sz w:val="24"/>
          <w:szCs w:val="24"/>
        </w:rPr>
        <w:t>documento:</w:t>
      </w:r>
      <w:r>
        <w:rPr>
          <w:rFonts w:ascii="Palatino Linotype" w:hAnsi="Palatino Linotype" w:cs="Arial"/>
          <w:sz w:val="24"/>
          <w:szCs w:val="24"/>
        </w:rPr>
        <w:t xml:space="preserve">  </w:t>
      </w:r>
    </w:p>
    <w:p w:rsidR="00FE23FD" w:rsidRPr="00FE23FD" w:rsidRDefault="00FE23FD" w:rsidP="00FE23FD">
      <w:pPr>
        <w:pStyle w:val="Prrafodelista"/>
        <w:spacing w:before="240" w:after="240" w:line="360" w:lineRule="auto"/>
        <w:ind w:left="0"/>
        <w:jc w:val="both"/>
        <w:rPr>
          <w:rFonts w:ascii="Palatino Linotype" w:hAnsi="Palatino Linotype" w:cs="Arial"/>
          <w:b/>
          <w:sz w:val="24"/>
          <w:szCs w:val="24"/>
        </w:rPr>
      </w:pPr>
    </w:p>
    <w:p w:rsidR="00FE23FD" w:rsidRDefault="00FE23FD" w:rsidP="00FE23FD">
      <w:pPr>
        <w:pStyle w:val="Prrafodelista"/>
        <w:numPr>
          <w:ilvl w:val="0"/>
          <w:numId w:val="16"/>
        </w:numPr>
        <w:spacing w:before="240" w:after="240" w:line="360" w:lineRule="auto"/>
        <w:jc w:val="both"/>
        <w:rPr>
          <w:rFonts w:ascii="Palatino Linotype" w:hAnsi="Palatino Linotype" w:cs="Arial"/>
          <w:sz w:val="24"/>
          <w:szCs w:val="24"/>
        </w:rPr>
      </w:pPr>
      <w:r>
        <w:rPr>
          <w:rFonts w:ascii="Palatino Linotype" w:hAnsi="Palatino Linotype" w:cs="Arial"/>
          <w:b/>
          <w:sz w:val="24"/>
          <w:szCs w:val="24"/>
        </w:rPr>
        <w:t>CONTESTACION 24 (1).</w:t>
      </w:r>
      <w:proofErr w:type="spellStart"/>
      <w:r>
        <w:rPr>
          <w:rFonts w:ascii="Palatino Linotype" w:hAnsi="Palatino Linotype" w:cs="Arial"/>
          <w:b/>
          <w:sz w:val="24"/>
          <w:szCs w:val="24"/>
        </w:rPr>
        <w:t>pdf</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Documento electrónico que en dieciocho (18) hojas contiene lo siguiente: </w:t>
      </w:r>
    </w:p>
    <w:p w:rsidR="00FE23FD" w:rsidRDefault="00FE23FD" w:rsidP="00FE23FD">
      <w:pPr>
        <w:pStyle w:val="Prrafodelista"/>
        <w:spacing w:before="240" w:after="240" w:line="360" w:lineRule="auto"/>
        <w:jc w:val="both"/>
        <w:rPr>
          <w:rFonts w:ascii="Palatino Linotype" w:hAnsi="Palatino Linotype" w:cs="Arial"/>
          <w:sz w:val="24"/>
          <w:szCs w:val="24"/>
        </w:rPr>
      </w:pPr>
    </w:p>
    <w:p w:rsidR="0025704D" w:rsidRPr="0025704D" w:rsidRDefault="00FE23FD" w:rsidP="0025704D">
      <w:pPr>
        <w:pStyle w:val="Prrafodelista"/>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w:t>
      </w:r>
      <w:r>
        <w:rPr>
          <w:rFonts w:ascii="Palatino Linotype" w:hAnsi="Palatino Linotype" w:cs="Arial"/>
          <w:sz w:val="24"/>
          <w:szCs w:val="24"/>
        </w:rPr>
        <w:t xml:space="preserve">Oficio </w:t>
      </w:r>
      <w:r>
        <w:rPr>
          <w:rFonts w:ascii="Palatino Linotype" w:hAnsi="Palatino Linotype" w:cs="Arial"/>
          <w:b/>
          <w:sz w:val="24"/>
          <w:szCs w:val="24"/>
        </w:rPr>
        <w:t>UTAIPM/088/2019</w:t>
      </w:r>
      <w:r w:rsidR="0025704D">
        <w:rPr>
          <w:rFonts w:ascii="Palatino Linotype" w:hAnsi="Palatino Linotype" w:cs="Arial"/>
          <w:b/>
          <w:sz w:val="24"/>
          <w:szCs w:val="24"/>
        </w:rPr>
        <w:t xml:space="preserve"> </w:t>
      </w:r>
      <w:r w:rsidR="0025704D">
        <w:rPr>
          <w:rFonts w:ascii="Palatino Linotype" w:hAnsi="Palatino Linotype" w:cs="Arial"/>
          <w:sz w:val="24"/>
          <w:szCs w:val="24"/>
        </w:rPr>
        <w:t xml:space="preserve">por medio del cual el </w:t>
      </w:r>
      <w:r w:rsidR="0025704D" w:rsidRPr="0025704D">
        <w:rPr>
          <w:rFonts w:ascii="Palatino Linotype" w:hAnsi="Palatino Linotype" w:cs="Arial"/>
          <w:sz w:val="24"/>
          <w:szCs w:val="24"/>
        </w:rPr>
        <w:t>Titula</w:t>
      </w:r>
      <w:r w:rsidR="0021461E">
        <w:rPr>
          <w:rFonts w:ascii="Palatino Linotype" w:hAnsi="Palatino Linotype" w:cs="Arial"/>
          <w:sz w:val="24"/>
          <w:szCs w:val="24"/>
        </w:rPr>
        <w:t>r de la Unidad de Transparencia da respuesta a la solicitud de información, refiriendo que se realiza entrega de la respuesta emitida por el Servidor Público Habilitado.</w:t>
      </w:r>
    </w:p>
    <w:p w:rsidR="0025704D" w:rsidRPr="0025704D" w:rsidRDefault="0025704D" w:rsidP="0025704D">
      <w:pPr>
        <w:widowControl w:val="0"/>
        <w:tabs>
          <w:tab w:val="left" w:pos="0"/>
        </w:tabs>
        <w:autoSpaceDE w:val="0"/>
        <w:autoSpaceDN w:val="0"/>
        <w:adjustRightInd w:val="0"/>
        <w:spacing w:before="100" w:beforeAutospacing="1" w:after="100" w:afterAutospacing="1" w:line="360" w:lineRule="auto"/>
        <w:ind w:left="720"/>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w:t>
      </w:r>
      <w:r w:rsidRPr="0025704D">
        <w:rPr>
          <w:rFonts w:ascii="Palatino Linotype" w:eastAsia="Times New Roman" w:hAnsi="Palatino Linotype" w:cs="Arial"/>
          <w:sz w:val="24"/>
          <w:szCs w:val="24"/>
          <w:lang w:eastAsia="es-ES"/>
        </w:rPr>
        <w:t xml:space="preserve">Oficios Números </w:t>
      </w:r>
      <w:r w:rsidRPr="0025704D">
        <w:rPr>
          <w:rFonts w:ascii="Palatino Linotype" w:eastAsia="Times New Roman" w:hAnsi="Palatino Linotype" w:cs="Arial"/>
          <w:b/>
          <w:sz w:val="24"/>
          <w:szCs w:val="24"/>
          <w:lang w:eastAsia="es-ES"/>
        </w:rPr>
        <w:t>UTAIPM/061/2019, UTAIPM/062/2019, UTAIPM/063/2019</w:t>
      </w:r>
      <w:r w:rsidRPr="0025704D">
        <w:rPr>
          <w:rFonts w:ascii="Palatino Linotype" w:eastAsia="Times New Roman" w:hAnsi="Palatino Linotype" w:cs="Arial"/>
          <w:sz w:val="24"/>
          <w:szCs w:val="24"/>
          <w:lang w:eastAsia="es-ES"/>
        </w:rPr>
        <w:t xml:space="preserve"> y </w:t>
      </w:r>
      <w:r w:rsidRPr="0025704D">
        <w:rPr>
          <w:rFonts w:ascii="Palatino Linotype" w:eastAsia="Times New Roman" w:hAnsi="Palatino Linotype" w:cs="Arial"/>
          <w:b/>
          <w:sz w:val="24"/>
          <w:szCs w:val="24"/>
          <w:lang w:eastAsia="es-ES"/>
        </w:rPr>
        <w:t>UTAIPM/064/2019</w:t>
      </w:r>
      <w:r w:rsidRPr="0025704D">
        <w:rPr>
          <w:rFonts w:ascii="Palatino Linotype" w:eastAsia="Times New Roman" w:hAnsi="Palatino Linotype" w:cs="Arial"/>
          <w:sz w:val="24"/>
          <w:szCs w:val="24"/>
          <w:lang w:eastAsia="es-ES"/>
        </w:rPr>
        <w:t>, por medio de los cuales la Titular de la Unidad de Transparencia realizó los requerimientos de información a los Servidores Públicos Habilitados que estimó pertinentes para colmar la solicitud de acceso a la información.</w:t>
      </w:r>
    </w:p>
    <w:p w:rsidR="0025704D" w:rsidRPr="0025704D" w:rsidRDefault="0025704D" w:rsidP="0025704D">
      <w:pPr>
        <w:widowControl w:val="0"/>
        <w:tabs>
          <w:tab w:val="left" w:pos="0"/>
        </w:tabs>
        <w:autoSpaceDE w:val="0"/>
        <w:autoSpaceDN w:val="0"/>
        <w:adjustRightInd w:val="0"/>
        <w:spacing w:before="100" w:beforeAutospacing="1" w:after="100" w:afterAutospacing="1" w:line="360" w:lineRule="auto"/>
        <w:ind w:left="720"/>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w:t>
      </w:r>
      <w:r w:rsidRPr="0025704D">
        <w:rPr>
          <w:rFonts w:ascii="Palatino Linotype" w:eastAsia="Times New Roman" w:hAnsi="Palatino Linotype" w:cs="Arial"/>
          <w:sz w:val="24"/>
          <w:szCs w:val="24"/>
          <w:lang w:eastAsia="es-ES"/>
        </w:rPr>
        <w:t xml:space="preserve">Oficio número </w:t>
      </w:r>
      <w:r w:rsidRPr="0025704D">
        <w:rPr>
          <w:rFonts w:ascii="Palatino Linotype" w:eastAsia="Times New Roman" w:hAnsi="Palatino Linotype" w:cs="Arial"/>
          <w:b/>
          <w:sz w:val="24"/>
          <w:szCs w:val="24"/>
          <w:lang w:eastAsia="es-ES"/>
        </w:rPr>
        <w:t>DAFT/028/2019</w:t>
      </w:r>
      <w:r w:rsidRPr="0025704D">
        <w:rPr>
          <w:rFonts w:ascii="Palatino Linotype" w:eastAsia="Times New Roman" w:hAnsi="Palatino Linotype" w:cs="Arial"/>
          <w:sz w:val="24"/>
          <w:szCs w:val="24"/>
          <w:lang w:eastAsia="es-ES"/>
        </w:rPr>
        <w:t>, de fecha quince de febrero de dos mil diecinueve, por medio el cual el Director Administración remitió información a la Titular de la Unidad de Transparencia.</w:t>
      </w:r>
    </w:p>
    <w:p w:rsidR="0025704D" w:rsidRPr="0025704D" w:rsidRDefault="0025704D" w:rsidP="0025704D">
      <w:pPr>
        <w:widowControl w:val="0"/>
        <w:tabs>
          <w:tab w:val="left" w:pos="0"/>
        </w:tabs>
        <w:autoSpaceDE w:val="0"/>
        <w:autoSpaceDN w:val="0"/>
        <w:adjustRightInd w:val="0"/>
        <w:spacing w:before="100" w:beforeAutospacing="1" w:after="100" w:afterAutospacing="1" w:line="360" w:lineRule="auto"/>
        <w:ind w:left="720"/>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w:t>
      </w:r>
      <w:r w:rsidRPr="0025704D">
        <w:rPr>
          <w:rFonts w:ascii="Palatino Linotype" w:eastAsia="Times New Roman" w:hAnsi="Palatino Linotype" w:cs="Arial"/>
          <w:sz w:val="24"/>
          <w:szCs w:val="24"/>
          <w:lang w:eastAsia="es-ES"/>
        </w:rPr>
        <w:t xml:space="preserve">Oficio número </w:t>
      </w:r>
      <w:r w:rsidRPr="0025704D">
        <w:rPr>
          <w:rFonts w:ascii="Palatino Linotype" w:eastAsia="Times New Roman" w:hAnsi="Palatino Linotype" w:cs="Arial"/>
          <w:b/>
          <w:sz w:val="24"/>
          <w:szCs w:val="24"/>
          <w:lang w:eastAsia="es-ES"/>
        </w:rPr>
        <w:t>CIMA/90/2019</w:t>
      </w:r>
      <w:r w:rsidRPr="0025704D">
        <w:rPr>
          <w:rFonts w:ascii="Palatino Linotype" w:eastAsia="Times New Roman" w:hAnsi="Palatino Linotype" w:cs="Arial"/>
          <w:sz w:val="24"/>
          <w:szCs w:val="24"/>
          <w:lang w:eastAsia="es-ES"/>
        </w:rPr>
        <w:t>, de fecha ocho de enero de dos mil diecinueve, por medio el cual personal de la Contraloría remitió información a la Titular de la Unidad de Transparencia.</w:t>
      </w:r>
    </w:p>
    <w:p w:rsidR="0025704D" w:rsidRPr="0025704D" w:rsidRDefault="0025704D" w:rsidP="0025704D">
      <w:pPr>
        <w:widowControl w:val="0"/>
        <w:tabs>
          <w:tab w:val="left" w:pos="0"/>
        </w:tabs>
        <w:autoSpaceDE w:val="0"/>
        <w:autoSpaceDN w:val="0"/>
        <w:adjustRightInd w:val="0"/>
        <w:spacing w:before="100" w:beforeAutospacing="1" w:after="100" w:afterAutospacing="1" w:line="360" w:lineRule="auto"/>
        <w:ind w:left="720"/>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w:t>
      </w:r>
      <w:r w:rsidRPr="0025704D">
        <w:rPr>
          <w:rFonts w:ascii="Palatino Linotype" w:eastAsia="Times New Roman" w:hAnsi="Palatino Linotype" w:cs="Arial"/>
          <w:sz w:val="24"/>
          <w:szCs w:val="24"/>
          <w:lang w:eastAsia="es-ES"/>
        </w:rPr>
        <w:t xml:space="preserve">Oficio número </w:t>
      </w:r>
      <w:r w:rsidRPr="0025704D">
        <w:rPr>
          <w:rFonts w:ascii="Palatino Linotype" w:eastAsia="Times New Roman" w:hAnsi="Palatino Linotype" w:cs="Arial"/>
          <w:b/>
          <w:sz w:val="24"/>
          <w:szCs w:val="24"/>
          <w:lang w:eastAsia="es-ES"/>
        </w:rPr>
        <w:t>TIM/I/080/2019</w:t>
      </w:r>
      <w:r w:rsidRPr="0025704D">
        <w:rPr>
          <w:rFonts w:ascii="Palatino Linotype" w:eastAsia="Times New Roman" w:hAnsi="Palatino Linotype" w:cs="Arial"/>
          <w:sz w:val="24"/>
          <w:szCs w:val="24"/>
          <w:lang w:eastAsia="es-ES"/>
        </w:rPr>
        <w:t>, de fecha trece de febrero de dos mil diecinueve, por medio el cual el Tesorero Municipal remitió información a la Titular de la Unidad de Transparencia.</w:t>
      </w:r>
    </w:p>
    <w:p w:rsidR="0025704D" w:rsidRPr="0025704D" w:rsidRDefault="0025704D" w:rsidP="0025704D">
      <w:pPr>
        <w:widowControl w:val="0"/>
        <w:tabs>
          <w:tab w:val="left" w:pos="0"/>
        </w:tabs>
        <w:autoSpaceDE w:val="0"/>
        <w:autoSpaceDN w:val="0"/>
        <w:adjustRightInd w:val="0"/>
        <w:spacing w:before="100" w:beforeAutospacing="1" w:after="100" w:afterAutospacing="1" w:line="360" w:lineRule="auto"/>
        <w:ind w:left="720"/>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w:t>
      </w:r>
      <w:r w:rsidRPr="0025704D">
        <w:rPr>
          <w:rFonts w:ascii="Palatino Linotype" w:eastAsia="Times New Roman" w:hAnsi="Palatino Linotype" w:cs="Arial"/>
          <w:sz w:val="24"/>
          <w:szCs w:val="24"/>
          <w:lang w:eastAsia="es-ES"/>
        </w:rPr>
        <w:t xml:space="preserve">Oficio número </w:t>
      </w:r>
      <w:r w:rsidRPr="0025704D">
        <w:rPr>
          <w:rFonts w:ascii="Palatino Linotype" w:eastAsia="Times New Roman" w:hAnsi="Palatino Linotype" w:cs="Arial"/>
          <w:b/>
          <w:sz w:val="24"/>
          <w:szCs w:val="24"/>
          <w:lang w:eastAsia="es-ES"/>
        </w:rPr>
        <w:t>DDOPYDU/022/2019</w:t>
      </w:r>
      <w:r w:rsidRPr="0025704D">
        <w:rPr>
          <w:rFonts w:ascii="Palatino Linotype" w:eastAsia="Times New Roman" w:hAnsi="Palatino Linotype" w:cs="Arial"/>
          <w:sz w:val="24"/>
          <w:szCs w:val="24"/>
          <w:lang w:eastAsia="es-ES"/>
        </w:rPr>
        <w:t>, de fecha treinta de enero de dos mil diecinueve, por medio el cual el Director de Obras Públicas y Desarrollo Urbano remitió información a la Titular de la Unidad de Transparencia.</w:t>
      </w:r>
    </w:p>
    <w:p w:rsidR="00FE23FD" w:rsidRPr="0021461E" w:rsidRDefault="0025704D" w:rsidP="0021461E">
      <w:pPr>
        <w:widowControl w:val="0"/>
        <w:tabs>
          <w:tab w:val="left" w:pos="0"/>
        </w:tabs>
        <w:autoSpaceDE w:val="0"/>
        <w:autoSpaceDN w:val="0"/>
        <w:adjustRightInd w:val="0"/>
        <w:spacing w:before="100" w:beforeAutospacing="1" w:after="100" w:afterAutospacing="1" w:line="360" w:lineRule="auto"/>
        <w:ind w:left="720"/>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w:t>
      </w:r>
      <w:r w:rsidRPr="0025704D">
        <w:rPr>
          <w:rFonts w:ascii="Palatino Linotype" w:eastAsia="Times New Roman" w:hAnsi="Palatino Linotype" w:cs="Arial"/>
          <w:sz w:val="24"/>
          <w:szCs w:val="24"/>
          <w:lang w:eastAsia="es-ES"/>
        </w:rPr>
        <w:t>Nómina General del mes de enero de dos mil diecinueve, ilegible, constante de 3 fojas.</w:t>
      </w:r>
    </w:p>
    <w:p w:rsidR="004E3710" w:rsidRDefault="0046491C" w:rsidP="004E3710">
      <w:pPr>
        <w:pStyle w:val="Prrafodelista"/>
        <w:numPr>
          <w:ilvl w:val="0"/>
          <w:numId w:val="1"/>
        </w:numPr>
        <w:spacing w:before="240" w:after="240" w:line="360" w:lineRule="auto"/>
        <w:ind w:left="0" w:firstLine="0"/>
        <w:jc w:val="both"/>
        <w:rPr>
          <w:rFonts w:ascii="Palatino Linotype" w:hAnsi="Palatino Linotype" w:cs="Arial"/>
          <w:sz w:val="24"/>
          <w:szCs w:val="24"/>
        </w:rPr>
      </w:pPr>
      <w:r w:rsidRPr="00805837">
        <w:rPr>
          <w:rFonts w:ascii="Palatino Linotype" w:hAnsi="Palatino Linotype" w:cs="Arial"/>
          <w:sz w:val="24"/>
          <w:szCs w:val="24"/>
        </w:rPr>
        <w:t>En ese sentido,</w:t>
      </w:r>
      <w:r w:rsidRPr="00805837">
        <w:rPr>
          <w:rFonts w:ascii="Palatino Linotype" w:hAnsi="Palatino Linotype" w:cs="Arial"/>
          <w:b/>
          <w:sz w:val="24"/>
          <w:szCs w:val="24"/>
        </w:rPr>
        <w:t xml:space="preserve"> </w:t>
      </w:r>
      <w:r w:rsidR="00AE4797" w:rsidRPr="00805837">
        <w:rPr>
          <w:rFonts w:ascii="Palatino Linotype" w:hAnsi="Palatino Linotype" w:cs="Arial"/>
          <w:sz w:val="24"/>
          <w:szCs w:val="24"/>
        </w:rPr>
        <w:t>el particular</w:t>
      </w:r>
      <w:r w:rsidR="005F3760" w:rsidRPr="00805837">
        <w:rPr>
          <w:rFonts w:ascii="Palatino Linotype" w:hAnsi="Palatino Linotype" w:cs="Arial"/>
          <w:sz w:val="24"/>
          <w:szCs w:val="24"/>
        </w:rPr>
        <w:t xml:space="preserve"> en sus motivos de inconformidad, ya no se duele por la totalidad de la información que le fue proporcionada, se queja únicamente</w:t>
      </w:r>
      <w:r w:rsidR="009F1B31">
        <w:rPr>
          <w:rFonts w:ascii="Palatino Linotype" w:hAnsi="Palatino Linotype" w:cs="Arial"/>
          <w:sz w:val="24"/>
          <w:szCs w:val="24"/>
        </w:rPr>
        <w:t xml:space="preserve"> por la ilegibilidad de</w:t>
      </w:r>
      <w:r w:rsidR="004E3710">
        <w:rPr>
          <w:rFonts w:ascii="Palatino Linotype" w:hAnsi="Palatino Linotype" w:cs="Arial"/>
          <w:sz w:val="24"/>
          <w:szCs w:val="24"/>
        </w:rPr>
        <w:t xml:space="preserve"> los documentos donde consta la nómina.</w:t>
      </w:r>
    </w:p>
    <w:p w:rsidR="00444048" w:rsidRPr="0001046D" w:rsidRDefault="004E3710" w:rsidP="004E3710">
      <w:pPr>
        <w:pStyle w:val="Prrafodelista"/>
        <w:spacing w:before="240" w:after="240" w:line="360" w:lineRule="auto"/>
        <w:ind w:left="0"/>
        <w:jc w:val="both"/>
        <w:rPr>
          <w:rFonts w:ascii="Palatino Linotype" w:hAnsi="Palatino Linotype" w:cs="Arial"/>
          <w:sz w:val="24"/>
          <w:szCs w:val="24"/>
        </w:rPr>
      </w:pPr>
      <w:r w:rsidRPr="0001046D">
        <w:rPr>
          <w:rFonts w:ascii="Palatino Linotype" w:hAnsi="Palatino Linotype" w:cs="Arial"/>
          <w:sz w:val="24"/>
          <w:szCs w:val="24"/>
        </w:rPr>
        <w:t xml:space="preserve"> </w:t>
      </w:r>
    </w:p>
    <w:p w:rsidR="0046491C" w:rsidRDefault="009531A0" w:rsidP="004F5418">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Por otro lado 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Sujeto Obligado atiende  la solicitud de forma parcial</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21461E" w:rsidRPr="0021461E" w:rsidRDefault="0021461E" w:rsidP="0021461E">
      <w:pPr>
        <w:pStyle w:val="Prrafodelista"/>
        <w:rPr>
          <w:rFonts w:ascii="Palatino Linotype" w:hAnsi="Palatino Linotype" w:cs="Arial"/>
          <w:sz w:val="24"/>
          <w:szCs w:val="24"/>
        </w:rPr>
      </w:pPr>
    </w:p>
    <w:p w:rsidR="0021461E" w:rsidRDefault="0021461E" w:rsidP="0021461E">
      <w:pPr>
        <w:pStyle w:val="Prrafodelista"/>
        <w:spacing w:after="0" w:line="360" w:lineRule="auto"/>
        <w:ind w:left="0"/>
        <w:jc w:val="both"/>
        <w:rPr>
          <w:rFonts w:ascii="Palatino Linotype" w:hAnsi="Palatino Linotype" w:cs="Arial"/>
          <w:sz w:val="24"/>
          <w:szCs w:val="24"/>
        </w:rPr>
      </w:pPr>
    </w:p>
    <w:p w:rsidR="0021461E" w:rsidRPr="0021461E" w:rsidRDefault="005C79C8" w:rsidP="00A5491E">
      <w:pPr>
        <w:spacing w:after="360" w:line="360" w:lineRule="auto"/>
        <w:ind w:left="567" w:right="616"/>
        <w:jc w:val="both"/>
        <w:rPr>
          <w:rFonts w:ascii="Palatino Linotype" w:hAnsi="Palatino Linotype"/>
          <w:bCs/>
          <w:i/>
        </w:rPr>
      </w:pPr>
      <w:r w:rsidRPr="009531A0">
        <w:rPr>
          <w:rFonts w:ascii="Palatino Linotype" w:hAnsi="Palatino Linotype"/>
          <w:i/>
        </w:rPr>
        <w:t>“</w:t>
      </w:r>
      <w:r w:rsidR="0021461E" w:rsidRPr="0021461E">
        <w:rPr>
          <w:rFonts w:ascii="Palatino Linotype" w:hAnsi="Palatino Linotype"/>
          <w:bCs/>
          <w:i/>
        </w:rPr>
        <w:t xml:space="preserve">Primeramente, este órgano Garante del derecho de acceso a la información advirtió que </w:t>
      </w:r>
      <w:r w:rsidR="0021461E" w:rsidRPr="0021461E">
        <w:rPr>
          <w:rFonts w:ascii="Palatino Linotype" w:hAnsi="Palatino Linotype"/>
          <w:b/>
          <w:bCs/>
          <w:i/>
        </w:rPr>
        <w:t>LA RECURRENTE</w:t>
      </w:r>
      <w:r w:rsidR="0021461E" w:rsidRPr="0021461E">
        <w:rPr>
          <w:rFonts w:ascii="Palatino Linotype" w:hAnsi="Palatino Linotype"/>
          <w:bCs/>
          <w:i/>
        </w:rPr>
        <w:t xml:space="preserve"> no impugnó todos los rubros vertidos como respuesta, ya que se limitó a expresar que la nómina remitida por </w:t>
      </w:r>
      <w:r w:rsidR="0021461E" w:rsidRPr="0021461E">
        <w:rPr>
          <w:rFonts w:ascii="Palatino Linotype" w:hAnsi="Palatino Linotype"/>
          <w:b/>
          <w:bCs/>
          <w:i/>
        </w:rPr>
        <w:t>EL SUJETO OBLIGADO</w:t>
      </w:r>
      <w:r w:rsidR="0021461E" w:rsidRPr="0021461E">
        <w:rPr>
          <w:rFonts w:ascii="Palatino Linotype" w:hAnsi="Palatino Linotype"/>
          <w:bCs/>
          <w:i/>
        </w:rPr>
        <w:t xml:space="preserve"> era ilegible; por lo que, solicitó se le remitiera la información solicitada en los términos de su solicitud, esto es, la nómina de todos los trabajadores del Ayuntamiento, en la que se desglosen el sueldo base y las gratificaciones; por tal motivo, la respuesta, respecto a las solicitudes marcadas con los incisos a), c), d), e) y f) relativas a los rubros no combatidos queda intocada, ya que se advierte que se da por satisfecho el requerimiento de información, quedando firme ante la falta de impugnación en específico, pues se entiende que </w:t>
      </w:r>
      <w:r w:rsidR="0021461E" w:rsidRPr="0021461E">
        <w:rPr>
          <w:rFonts w:ascii="Palatino Linotype" w:hAnsi="Palatino Linotype"/>
          <w:b/>
          <w:bCs/>
          <w:i/>
        </w:rPr>
        <w:t>LA RECURRENTE</w:t>
      </w:r>
      <w:r w:rsidR="0021461E" w:rsidRPr="0021461E">
        <w:rPr>
          <w:rFonts w:ascii="Palatino Linotype" w:hAnsi="Palatino Linotype"/>
          <w:bCs/>
          <w:i/>
        </w:rPr>
        <w:t xml:space="preserve"> ésta conforme con la información al no contravenir la misma.</w:t>
      </w:r>
    </w:p>
    <w:p w:rsidR="0021461E" w:rsidRPr="0021461E" w:rsidRDefault="0021461E" w:rsidP="00A5491E">
      <w:pPr>
        <w:spacing w:before="240" w:after="360" w:line="360" w:lineRule="auto"/>
        <w:ind w:left="567" w:right="616"/>
        <w:jc w:val="both"/>
        <w:rPr>
          <w:rFonts w:ascii="Palatino Linotype" w:hAnsi="Palatino Linotype"/>
          <w:bCs/>
          <w:i/>
        </w:rPr>
      </w:pPr>
      <w:r w:rsidRPr="0021461E">
        <w:rPr>
          <w:rFonts w:ascii="Palatino Linotype" w:hAnsi="Palatino Linotype"/>
          <w:bCs/>
          <w:i/>
        </w:rPr>
        <w:t>Sirve de sustento por analogía la tesis jurisprudencial número VI.3o.C. J/60, publicada en el Semanario Judicial de la Federación y su Gaceta bajo el número de registro 176,608 que a la letra dice:</w:t>
      </w:r>
    </w:p>
    <w:p w:rsidR="0021461E" w:rsidRPr="0021461E" w:rsidRDefault="0021461E" w:rsidP="00A5491E">
      <w:pPr>
        <w:spacing w:before="240" w:after="360" w:line="360" w:lineRule="auto"/>
        <w:ind w:left="567" w:right="616"/>
        <w:jc w:val="both"/>
        <w:rPr>
          <w:rFonts w:ascii="Palatino Linotype" w:hAnsi="Palatino Linotype"/>
          <w:bCs/>
          <w:i/>
        </w:rPr>
      </w:pPr>
      <w:r w:rsidRPr="0021461E">
        <w:rPr>
          <w:rFonts w:ascii="Palatino Linotype" w:hAnsi="Palatino Linotype"/>
          <w:b/>
          <w:bCs/>
          <w:i/>
          <w:iCs/>
        </w:rPr>
        <w:t xml:space="preserve">“ACTOS CONSENTIDOS. SON LOS QUE NO SE IMPUGNAN MEDIANTE EL RECURSO IDÓNEO. </w:t>
      </w:r>
      <w:r w:rsidRPr="0021461E">
        <w:rPr>
          <w:rFonts w:ascii="Palatino Linotype" w:hAnsi="Palatino Linotype"/>
          <w:bCs/>
          <w:i/>
          <w:iC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1461E" w:rsidRPr="0021461E" w:rsidRDefault="0021461E" w:rsidP="00A5491E">
      <w:pPr>
        <w:spacing w:before="240" w:after="360" w:line="360" w:lineRule="auto"/>
        <w:ind w:left="567" w:right="616"/>
        <w:jc w:val="both"/>
        <w:rPr>
          <w:rFonts w:ascii="Palatino Linotype" w:hAnsi="Palatino Linotype"/>
          <w:bCs/>
          <w:i/>
        </w:rPr>
      </w:pPr>
      <w:r w:rsidRPr="0021461E">
        <w:rPr>
          <w:rFonts w:ascii="Palatino Linotype" w:hAnsi="Palatino Linotype"/>
          <w:bCs/>
          <w:i/>
        </w:rPr>
        <w:t xml:space="preserve">Lo anterior es así, debido a que, cuando </w:t>
      </w:r>
      <w:r w:rsidRPr="0021461E">
        <w:rPr>
          <w:rFonts w:ascii="Palatino Linotype" w:hAnsi="Palatino Linotype"/>
          <w:b/>
          <w:bCs/>
          <w:i/>
        </w:rPr>
        <w:t xml:space="preserve">LA RECURRENTE </w:t>
      </w:r>
      <w:r w:rsidRPr="0021461E">
        <w:rPr>
          <w:rFonts w:ascii="Palatino Linotype" w:hAnsi="Palatino Linotype"/>
          <w:bCs/>
          <w:i/>
        </w:rPr>
        <w:t xml:space="preserve">impugnó la respuesta del </w:t>
      </w:r>
      <w:r w:rsidRPr="0021461E">
        <w:rPr>
          <w:rFonts w:ascii="Palatino Linotype" w:hAnsi="Palatino Linotype"/>
          <w:b/>
          <w:bCs/>
          <w:i/>
        </w:rPr>
        <w:t>SUJETO OBLIGADO</w:t>
      </w:r>
      <w:r w:rsidRPr="0021461E">
        <w:rPr>
          <w:rFonts w:ascii="Palatino Linotype" w:hAnsi="Palatino Linotype"/>
          <w:bCs/>
          <w:i/>
        </w:rPr>
        <w:t xml:space="preserve">, no expresó razón o motivo de inconformidad en contra de todos los rubros solicitados; por lo que, dichos rubros deben declararse atendidos, pues se entiende que </w:t>
      </w:r>
      <w:r w:rsidRPr="0021461E">
        <w:rPr>
          <w:rFonts w:ascii="Palatino Linotype" w:hAnsi="Palatino Linotype"/>
          <w:b/>
          <w:bCs/>
          <w:i/>
        </w:rPr>
        <w:t>LA RECURRENTE</w:t>
      </w:r>
      <w:r w:rsidRPr="0021461E">
        <w:rPr>
          <w:rFonts w:ascii="Palatino Linotype" w:hAnsi="Palatino Linotype"/>
          <w:bCs/>
          <w:i/>
        </w:rPr>
        <w:t xml:space="preserve"> está conforme con la información al no contravenir la misma.</w:t>
      </w:r>
    </w:p>
    <w:p w:rsidR="0021461E" w:rsidRPr="0021461E" w:rsidRDefault="0021461E" w:rsidP="00A5491E">
      <w:pPr>
        <w:spacing w:before="240" w:after="360" w:line="360" w:lineRule="auto"/>
        <w:ind w:left="567" w:right="616"/>
        <w:jc w:val="both"/>
        <w:rPr>
          <w:rFonts w:ascii="Palatino Linotype" w:hAnsi="Palatino Linotype"/>
          <w:bCs/>
          <w:i/>
        </w:rPr>
      </w:pPr>
      <w:r w:rsidRPr="0021461E">
        <w:rPr>
          <w:rFonts w:ascii="Palatino Linotype" w:hAnsi="Palatino Linotype"/>
          <w:bCs/>
          <w:i/>
        </w:rPr>
        <w:t xml:space="preserve">Consecuentemente, la parte de la respuesta que no fue impugnada debe declararse consentida por </w:t>
      </w:r>
      <w:r w:rsidRPr="0021461E">
        <w:rPr>
          <w:rFonts w:ascii="Palatino Linotype" w:hAnsi="Palatino Linotype"/>
          <w:b/>
          <w:bCs/>
          <w:i/>
        </w:rPr>
        <w:t>LA RECURRENTE</w:t>
      </w:r>
      <w:r w:rsidRPr="0021461E">
        <w:rPr>
          <w:rFonts w:ascii="Palatino Linotype" w:hAnsi="Palatino Linotype"/>
          <w:bCs/>
          <w:i/>
        </w:rPr>
        <w:t>, toda vez que no realizó manifestaciones de inconformidad; por lo que, no pueden producirse efectos jurídicos tendentes a revocar, confirmar o modificar el acto reclamado, ya que se infiere su consentimiento ante la falta de impugnación eficaz.</w:t>
      </w:r>
    </w:p>
    <w:p w:rsidR="0021461E" w:rsidRPr="0021461E" w:rsidRDefault="0021461E" w:rsidP="00A5491E">
      <w:pPr>
        <w:spacing w:before="240" w:after="360" w:line="360" w:lineRule="auto"/>
        <w:ind w:left="567" w:right="616"/>
        <w:jc w:val="both"/>
        <w:rPr>
          <w:rFonts w:ascii="Palatino Linotype" w:hAnsi="Palatino Linotype"/>
          <w:bCs/>
          <w:i/>
        </w:rPr>
      </w:pPr>
      <w:r w:rsidRPr="0021461E">
        <w:rPr>
          <w:rFonts w:ascii="Palatino Linotype" w:hAnsi="Palatino Linotype"/>
          <w:bCs/>
          <w:i/>
        </w:rPr>
        <w:t>Sirve como apoyo a lo anterior, por analogía, la Tesis Jurisprudencial Número 3ª./J.7/91, Publicada en el Semanario Judicial de la Federación y su Gaceta bajo el número de registro 174,177, que establece lo siguiente:</w:t>
      </w:r>
    </w:p>
    <w:p w:rsidR="0021461E" w:rsidRPr="0021461E" w:rsidRDefault="0021461E" w:rsidP="00A5491E">
      <w:pPr>
        <w:spacing w:before="240" w:after="360" w:line="360" w:lineRule="auto"/>
        <w:ind w:left="567" w:right="616"/>
        <w:jc w:val="both"/>
        <w:rPr>
          <w:rFonts w:ascii="Palatino Linotype" w:hAnsi="Palatino Linotype"/>
          <w:bCs/>
          <w:i/>
          <w:iCs/>
        </w:rPr>
      </w:pPr>
      <w:r w:rsidRPr="0021461E">
        <w:rPr>
          <w:rFonts w:ascii="Palatino Linotype" w:hAnsi="Palatino Linotype"/>
          <w:b/>
          <w:bCs/>
          <w:i/>
          <w:iCs/>
        </w:rPr>
        <w:t xml:space="preserve">“REVISIÓN EN AMPARO. LOS RESOLUTIVOS NO COMBATIDOS DEBEN DECLARARSE FIRMES. </w:t>
      </w:r>
      <w:r w:rsidRPr="0021461E">
        <w:rPr>
          <w:rFonts w:ascii="Palatino Linotype" w:hAnsi="Palatino Linotype"/>
          <w:bCs/>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C79C8" w:rsidRPr="0021461E" w:rsidRDefault="0021461E" w:rsidP="00A5491E">
      <w:pPr>
        <w:spacing w:before="240" w:after="360" w:line="360" w:lineRule="auto"/>
        <w:ind w:left="567" w:right="616"/>
        <w:jc w:val="both"/>
        <w:rPr>
          <w:rFonts w:ascii="Palatino Linotype" w:hAnsi="Palatino Linotype"/>
          <w:bCs/>
          <w:i/>
          <w:lang w:val="es-ES_tradnl"/>
        </w:rPr>
      </w:pPr>
      <w:r w:rsidRPr="0021461E">
        <w:rPr>
          <w:rFonts w:ascii="Palatino Linotype" w:hAnsi="Palatino Linotype"/>
          <w:bCs/>
          <w:i/>
        </w:rPr>
        <w:t xml:space="preserve">Bajo ese contexto, por cuanto hace a la solicitud de acceso a la información marcada con el inciso b) relativa a la nómina del Ayuntamiento de </w:t>
      </w:r>
      <w:proofErr w:type="spellStart"/>
      <w:r w:rsidRPr="0021461E">
        <w:rPr>
          <w:rFonts w:ascii="Palatino Linotype" w:hAnsi="Palatino Linotype"/>
          <w:bCs/>
          <w:i/>
        </w:rPr>
        <w:t>Acambay</w:t>
      </w:r>
      <w:proofErr w:type="spellEnd"/>
      <w:r w:rsidRPr="0021461E">
        <w:rPr>
          <w:rFonts w:ascii="Palatino Linotype" w:hAnsi="Palatino Linotype"/>
          <w:bCs/>
          <w:i/>
        </w:rPr>
        <w:t xml:space="preserve"> de Ruiz Castañeda, este Instituto precisa que se obvia el análisis de la competencia por parte del </w:t>
      </w:r>
      <w:r w:rsidRPr="0021461E">
        <w:rPr>
          <w:rFonts w:ascii="Palatino Linotype" w:hAnsi="Palatino Linotype"/>
          <w:b/>
          <w:bCs/>
          <w:i/>
        </w:rPr>
        <w:t>SUJETO OBLIGADO</w:t>
      </w:r>
      <w:r w:rsidRPr="0021461E">
        <w:rPr>
          <w:rFonts w:ascii="Palatino Linotype" w:hAnsi="Palatino Linotype"/>
          <w:bCs/>
          <w:i/>
        </w:rPr>
        <w:t>, para generar, administrar o poseer la información solicitada, dado que éste ha asumido la misma, en razón de que en su respuesta remitió la información solicitada, de manera ilegible</w:t>
      </w:r>
      <w:r w:rsidR="00805837" w:rsidRPr="009531A0">
        <w:rPr>
          <w:rFonts w:ascii="Palatino Linotype" w:hAnsi="Palatino Linotype"/>
          <w:bCs/>
          <w:i/>
          <w:lang w:val="es-ES"/>
        </w:rPr>
        <w:t>.</w:t>
      </w:r>
      <w:r w:rsidR="005C79C8" w:rsidRPr="009531A0">
        <w:rPr>
          <w:rFonts w:ascii="Palatino Linotype" w:hAnsi="Palatino Linotype"/>
          <w:i/>
        </w:rPr>
        <w:t>” (Sic)</w:t>
      </w:r>
    </w:p>
    <w:p w:rsidR="005C79C8" w:rsidRPr="0021461E"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21461E">
        <w:rPr>
          <w:rFonts w:ascii="Palatino Linotype" w:hAnsi="Palatino Linotype" w:cs="Arial"/>
          <w:sz w:val="24"/>
          <w:szCs w:val="24"/>
        </w:rPr>
        <w:t>Derivado de lo transcrito con anterioridad, considero que la</w:t>
      </w:r>
      <w:r w:rsidR="00260D6C" w:rsidRPr="0021461E">
        <w:rPr>
          <w:rFonts w:ascii="Palatino Linotype" w:hAnsi="Palatino Linotype" w:cs="Arial"/>
          <w:sz w:val="24"/>
          <w:szCs w:val="24"/>
        </w:rPr>
        <w:t xml:space="preserve"> incorporación de dicho argumento</w:t>
      </w:r>
      <w:r w:rsidRPr="0021461E">
        <w:rPr>
          <w:rFonts w:ascii="Palatino Linotype" w:hAnsi="Palatino Linotype" w:cs="Arial"/>
          <w:sz w:val="24"/>
          <w:szCs w:val="24"/>
        </w:rPr>
        <w:t xml:space="preserve"> en la resolución en comento resulta a todas luces </w:t>
      </w:r>
      <w:r w:rsidR="00A5491E" w:rsidRPr="0021461E">
        <w:rPr>
          <w:rFonts w:ascii="Palatino Linotype" w:hAnsi="Palatino Linotype" w:cs="Arial"/>
          <w:sz w:val="24"/>
          <w:szCs w:val="24"/>
        </w:rPr>
        <w:t>innecesaria</w:t>
      </w:r>
      <w:r w:rsidR="00A5491E">
        <w:rPr>
          <w:rFonts w:ascii="Palatino Linotype" w:hAnsi="Palatino Linotype" w:cs="Arial"/>
          <w:sz w:val="24"/>
          <w:szCs w:val="24"/>
        </w:rPr>
        <w:t xml:space="preserve"> </w:t>
      </w:r>
      <w:r w:rsidR="00E61AB8" w:rsidRPr="0021461E">
        <w:rPr>
          <w:rFonts w:ascii="Palatino Linotype" w:hAnsi="Palatino Linotype" w:cs="Arial"/>
          <w:sz w:val="24"/>
          <w:szCs w:val="24"/>
        </w:rPr>
        <w:t xml:space="preserve">y además no da </w:t>
      </w:r>
      <w:r w:rsidR="005237D2">
        <w:rPr>
          <w:rFonts w:ascii="Palatino Linotype" w:hAnsi="Palatino Linotype" w:cs="Arial"/>
          <w:sz w:val="24"/>
          <w:szCs w:val="24"/>
        </w:rPr>
        <w:t>lugar a invocarlo</w:t>
      </w:r>
      <w:r w:rsidRPr="0021461E">
        <w:rPr>
          <w:rFonts w:ascii="Palatino Linotype" w:hAnsi="Palatino Linotype" w:cs="Arial"/>
          <w:sz w:val="24"/>
          <w:szCs w:val="24"/>
        </w:rPr>
        <w:t xml:space="preserve"> en el derecho humano fundamental de acceder a la información pública gubernamental.</w:t>
      </w:r>
      <w:r w:rsidRPr="0021461E">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w:t>
      </w:r>
    </w:p>
    <w:p w:rsidR="005C79C8" w:rsidRPr="005C79C8" w:rsidRDefault="005C79C8" w:rsidP="005C79C8">
      <w:pPr>
        <w:pStyle w:val="Prrafodelista"/>
        <w:spacing w:before="240" w:after="240" w:line="360" w:lineRule="auto"/>
        <w:ind w:left="0" w:right="49"/>
        <w:jc w:val="both"/>
        <w:rPr>
          <w:rFonts w:ascii="Palatino Linotype" w:hAnsi="Palatino Linotype" w:cs="Arial"/>
          <w:sz w:val="24"/>
          <w:szCs w:val="24"/>
        </w:rPr>
      </w:pPr>
    </w:p>
    <w:p w:rsidR="00E47A30" w:rsidRPr="00E47A30" w:rsidRDefault="0046491C" w:rsidP="00651380">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eastAsia="Calibri" w:hAnsi="Palatino Linotype" w:cs="Times New Roman"/>
          <w:sz w:val="24"/>
          <w:szCs w:val="24"/>
          <w:lang w:val="es-ES" w:eastAsia="es-ES"/>
        </w:rPr>
        <w:t xml:space="preserve">En el presente asunto que nos ocupa, es de señalar que del análisis hecho a la resolución en comento, no se discute que el </w:t>
      </w:r>
      <w:r w:rsidRPr="0001046D">
        <w:rPr>
          <w:rFonts w:ascii="Palatino Linotype" w:eastAsia="Calibri" w:hAnsi="Palatino Linotype" w:cs="Times New Roman"/>
          <w:b/>
          <w:sz w:val="24"/>
          <w:szCs w:val="24"/>
          <w:lang w:val="es-ES" w:eastAsia="es-ES"/>
        </w:rPr>
        <w:t>SUJETO OBLIGADO</w:t>
      </w:r>
      <w:r w:rsidRPr="0001046D">
        <w:rPr>
          <w:rFonts w:ascii="Palatino Linotype" w:eastAsia="Calibri" w:hAnsi="Palatino Linotype" w:cs="Times New Roman"/>
          <w:sz w:val="24"/>
          <w:szCs w:val="24"/>
          <w:lang w:val="es-ES" w:eastAsia="es-ES"/>
        </w:rPr>
        <w:t xml:space="preserve"> ha dado respuesta a la solicitud de información</w:t>
      </w:r>
      <w:r w:rsidR="00260D6C" w:rsidRPr="0001046D">
        <w:rPr>
          <w:rFonts w:ascii="Palatino Linotype" w:eastAsia="Calibri" w:hAnsi="Palatino Linotype" w:cs="Times New Roman"/>
          <w:sz w:val="24"/>
          <w:szCs w:val="24"/>
          <w:lang w:val="es-ES" w:eastAsia="es-ES"/>
        </w:rPr>
        <w:t xml:space="preserve"> en lo particular</w:t>
      </w:r>
      <w:r w:rsidRPr="0001046D">
        <w:rPr>
          <w:rFonts w:ascii="Palatino Linotype" w:eastAsia="Calibri" w:hAnsi="Palatino Linotype" w:cs="Times New Roman"/>
          <w:sz w:val="24"/>
          <w:szCs w:val="24"/>
          <w:lang w:val="es-ES" w:eastAsia="es-ES"/>
        </w:rPr>
        <w:t>, t</w:t>
      </w:r>
      <w:r w:rsidR="00260D6C" w:rsidRPr="0001046D">
        <w:rPr>
          <w:rFonts w:ascii="Palatino Linotype" w:eastAsia="Calibri" w:hAnsi="Palatino Linotype" w:cs="Times New Roman"/>
          <w:sz w:val="24"/>
          <w:szCs w:val="24"/>
          <w:lang w:val="es-ES" w:eastAsia="es-ES"/>
        </w:rPr>
        <w:t>an es así que al analizar la respuesta emitida se concluyó que colmó</w:t>
      </w:r>
      <w:r w:rsidR="005C79C8">
        <w:rPr>
          <w:rFonts w:ascii="Palatino Linotype" w:eastAsia="Calibri" w:hAnsi="Palatino Linotype" w:cs="Times New Roman"/>
          <w:sz w:val="24"/>
          <w:szCs w:val="24"/>
          <w:lang w:val="es-ES" w:eastAsia="es-ES"/>
        </w:rPr>
        <w:t xml:space="preserve"> parcialmente</w:t>
      </w:r>
      <w:r w:rsidR="00260D6C" w:rsidRPr="0001046D">
        <w:rPr>
          <w:rFonts w:ascii="Palatino Linotype" w:eastAsia="Calibri" w:hAnsi="Palatino Linotype" w:cs="Times New Roman"/>
          <w:sz w:val="24"/>
          <w:szCs w:val="24"/>
          <w:lang w:val="es-ES" w:eastAsia="es-ES"/>
        </w:rPr>
        <w:t xml:space="preserve"> con </w:t>
      </w:r>
      <w:r w:rsidRPr="0001046D">
        <w:rPr>
          <w:rFonts w:ascii="Palatino Linotype" w:eastAsia="Calibri" w:hAnsi="Palatino Linotype" w:cs="Times New Roman"/>
          <w:sz w:val="24"/>
          <w:szCs w:val="24"/>
          <w:lang w:val="es-ES" w:eastAsia="es-ES"/>
        </w:rPr>
        <w:t>el derecho de acceso a la información,</w:t>
      </w:r>
      <w:r w:rsidR="000F6C81">
        <w:rPr>
          <w:rFonts w:ascii="Palatino Linotype" w:eastAsia="Calibri" w:hAnsi="Palatino Linotype" w:cs="Times New Roman"/>
          <w:sz w:val="24"/>
          <w:szCs w:val="24"/>
          <w:lang w:val="es-ES" w:eastAsia="es-ES"/>
        </w:rPr>
        <w:t xml:space="preserve"> por</w:t>
      </w:r>
      <w:r w:rsidRPr="0001046D">
        <w:rPr>
          <w:rFonts w:ascii="Palatino Linotype" w:eastAsia="Calibri" w:hAnsi="Palatino Linotype" w:cs="Times New Roman"/>
          <w:sz w:val="24"/>
          <w:szCs w:val="24"/>
          <w:lang w:val="es-ES" w:eastAsia="es-ES"/>
        </w:rPr>
        <w:t xml:space="preserve"> </w:t>
      </w:r>
      <w:r w:rsidR="00260D6C" w:rsidRPr="0001046D">
        <w:rPr>
          <w:rFonts w:ascii="Palatino Linotype" w:eastAsia="Calibri" w:hAnsi="Palatino Linotype" w:cs="Times New Roman"/>
          <w:sz w:val="24"/>
          <w:szCs w:val="24"/>
          <w:lang w:val="es-ES" w:eastAsia="es-ES"/>
        </w:rPr>
        <w:t>lo que</w:t>
      </w:r>
      <w:r w:rsidR="000F6C81">
        <w:rPr>
          <w:rFonts w:ascii="Palatino Linotype" w:eastAsia="Calibri" w:hAnsi="Palatino Linotype" w:cs="Times New Roman"/>
          <w:sz w:val="24"/>
          <w:szCs w:val="24"/>
          <w:lang w:val="es-ES" w:eastAsia="es-ES"/>
        </w:rPr>
        <w:t xml:space="preserve"> a mi consideración</w:t>
      </w:r>
      <w:r w:rsidRPr="0001046D">
        <w:rPr>
          <w:rFonts w:ascii="Palatino Linotype" w:eastAsia="Calibri" w:hAnsi="Palatino Linotype" w:cs="Times New Roman"/>
          <w:sz w:val="24"/>
          <w:szCs w:val="24"/>
          <w:lang w:val="es-ES" w:eastAsia="es-ES"/>
        </w:rPr>
        <w:t>, es innecesario señalar</w:t>
      </w:r>
      <w:r w:rsidR="00194B6A" w:rsidRPr="0001046D">
        <w:rPr>
          <w:rFonts w:ascii="Palatino Linotype" w:eastAsia="Calibri" w:hAnsi="Palatino Linotype" w:cs="Times New Roman"/>
          <w:sz w:val="24"/>
          <w:szCs w:val="24"/>
          <w:lang w:val="es-ES" w:eastAsia="es-ES"/>
        </w:rPr>
        <w:t xml:space="preserve"> la figura de actos consentidos,</w:t>
      </w:r>
      <w:r w:rsidR="000F6C81">
        <w:rPr>
          <w:rFonts w:ascii="Palatino Linotype" w:eastAsia="Calibri" w:hAnsi="Palatino Linotype" w:cs="Times New Roman"/>
          <w:sz w:val="24"/>
          <w:szCs w:val="24"/>
          <w:lang w:val="es-ES" w:eastAsia="es-ES"/>
        </w:rPr>
        <w:t xml:space="preserve"> lo anterior en atención a que</w:t>
      </w:r>
      <w:r w:rsidR="00194B6A" w:rsidRPr="0001046D">
        <w:rPr>
          <w:rFonts w:ascii="Palatino Linotype" w:eastAsia="Calibri" w:hAnsi="Palatino Linotype" w:cs="Times New Roman"/>
          <w:sz w:val="24"/>
          <w:szCs w:val="24"/>
          <w:lang w:val="es-ES" w:eastAsia="es-ES"/>
        </w:rPr>
        <w:t xml:space="preserve"> éste insti</w:t>
      </w:r>
      <w:r w:rsidR="000F6C81">
        <w:rPr>
          <w:rFonts w:ascii="Palatino Linotype" w:eastAsia="Calibri" w:hAnsi="Palatino Linotype" w:cs="Times New Roman"/>
          <w:sz w:val="24"/>
          <w:szCs w:val="24"/>
          <w:lang w:val="es-ES" w:eastAsia="es-ES"/>
        </w:rPr>
        <w:t xml:space="preserve">tuto como órgano garante, tiene el </w:t>
      </w:r>
      <w:r w:rsidR="00194B6A" w:rsidRPr="0001046D">
        <w:rPr>
          <w:rFonts w:ascii="Palatino Linotype" w:eastAsia="Calibri" w:hAnsi="Palatino Linotype" w:cs="Times New Roman"/>
          <w:sz w:val="24"/>
          <w:szCs w:val="24"/>
          <w:lang w:val="es-ES" w:eastAsia="es-ES"/>
        </w:rPr>
        <w:t>deber</w:t>
      </w:r>
      <w:r w:rsidR="000F6C81">
        <w:rPr>
          <w:rFonts w:ascii="Palatino Linotype" w:eastAsia="Calibri" w:hAnsi="Palatino Linotype" w:cs="Times New Roman"/>
          <w:sz w:val="24"/>
          <w:szCs w:val="24"/>
          <w:lang w:val="es-ES" w:eastAsia="es-ES"/>
        </w:rPr>
        <w:t xml:space="preserve"> de</w:t>
      </w:r>
      <w:r w:rsidR="00194B6A" w:rsidRPr="0001046D">
        <w:rPr>
          <w:rFonts w:ascii="Palatino Linotype" w:eastAsia="Calibri" w:hAnsi="Palatino Linotype" w:cs="Times New Roman"/>
          <w:sz w:val="24"/>
          <w:szCs w:val="24"/>
          <w:lang w:val="es-ES" w:eastAsia="es-ES"/>
        </w:rPr>
        <w:t xml:space="preserve"> velar por el cabal cumplimiento al derecho humano de acceso a la información, mas no limita</w:t>
      </w:r>
      <w:r w:rsidR="0001046D">
        <w:rPr>
          <w:rFonts w:ascii="Palatino Linotype" w:eastAsia="Calibri" w:hAnsi="Palatino Linotype" w:cs="Times New Roman"/>
          <w:sz w:val="24"/>
          <w:szCs w:val="24"/>
          <w:lang w:val="es-ES" w:eastAsia="es-ES"/>
        </w:rPr>
        <w:t>rlo invocando el multicitado argumento de</w:t>
      </w:r>
      <w:r w:rsidR="00194B6A" w:rsidRPr="0001046D">
        <w:rPr>
          <w:rFonts w:ascii="Palatino Linotype" w:eastAsia="Calibri" w:hAnsi="Palatino Linotype" w:cs="Times New Roman"/>
          <w:sz w:val="24"/>
          <w:szCs w:val="24"/>
          <w:lang w:val="es-ES" w:eastAsia="es-ES"/>
        </w:rPr>
        <w:t xml:space="preserve"> actos consentidos.</w:t>
      </w: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7180515"/>
      <w:r w:rsidRPr="0001046D">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0F6C81">
      <w:pPr>
        <w:pStyle w:val="Prrafodelista"/>
        <w:numPr>
          <w:ilvl w:val="0"/>
          <w:numId w:val="1"/>
        </w:numPr>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w:t>
      </w:r>
      <w:proofErr w:type="gramStart"/>
      <w:r w:rsidRPr="0001046D">
        <w:rPr>
          <w:rFonts w:ascii="Palatino Linotype" w:hAnsi="Palatino Linotype" w:cs="Arial"/>
          <w:sz w:val="24"/>
          <w:szCs w:val="24"/>
        </w:rPr>
        <w:t>Zamudio  “</w:t>
      </w:r>
      <w:proofErr w:type="gramEnd"/>
      <w:r w:rsidRPr="0001046D">
        <w:rPr>
          <w:rFonts w:ascii="Palatino Linotype" w:hAnsi="Palatino Linotype" w:cs="Arial"/>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1046D" w:rsidRDefault="0046491C" w:rsidP="00E34F08">
      <w:pPr>
        <w:spacing w:after="0" w:line="360" w:lineRule="auto"/>
        <w:jc w:val="both"/>
        <w:rPr>
          <w:rFonts w:ascii="Palatino Linotype" w:hAnsi="Palatino Linotype" w:cs="Arial"/>
          <w:sz w:val="24"/>
          <w:szCs w:val="24"/>
        </w:rPr>
      </w:pPr>
    </w:p>
    <w:p w:rsidR="0046491C" w:rsidRDefault="0046491C" w:rsidP="009531A0">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9531A0" w:rsidRPr="009531A0" w:rsidRDefault="009531A0" w:rsidP="009531A0">
      <w:pPr>
        <w:pStyle w:val="Prrafodelista"/>
        <w:spacing w:after="0" w:line="360" w:lineRule="auto"/>
        <w:ind w:left="0"/>
        <w:jc w:val="both"/>
        <w:rPr>
          <w:rFonts w:ascii="Palatino Linotype" w:hAnsi="Palatino Linotype" w:cs="Arial"/>
          <w:sz w:val="24"/>
          <w:szCs w:val="24"/>
        </w:rPr>
      </w:pPr>
    </w:p>
    <w:p w:rsidR="0046491C" w:rsidRPr="0001046D" w:rsidRDefault="0046491C" w:rsidP="000F6C81">
      <w:pPr>
        <w:pStyle w:val="Prrafodelista"/>
        <w:spacing w:after="0" w:line="360" w:lineRule="auto"/>
        <w:ind w:left="0"/>
        <w:jc w:val="both"/>
        <w:rPr>
          <w:rFonts w:ascii="Palatino Linotype" w:hAnsi="Palatino Linotype" w:cs="Arial"/>
          <w:sz w:val="24"/>
          <w:szCs w:val="24"/>
        </w:rPr>
      </w:pPr>
      <w:r w:rsidRPr="0001046D">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1046D">
        <w:rPr>
          <w:rFonts w:ascii="Palatino Linotype" w:hAnsi="Palatino Linotype" w:cs="Arial"/>
          <w:b/>
          <w:sz w:val="24"/>
          <w:szCs w:val="24"/>
        </w:rPr>
        <w:t>considerando que algún nivel de gobierno tenga obligaciones reforzadas hacia ciertos derechos.</w:t>
      </w:r>
      <w:r w:rsidRPr="0001046D">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1046D">
        <w:rPr>
          <w:rFonts w:ascii="Palatino Linotype" w:hAnsi="Palatino Linotype" w:cs="Arial"/>
          <w:b/>
          <w:sz w:val="24"/>
          <w:szCs w:val="24"/>
        </w:rPr>
        <w:t>tomar todas las medidas que sean pertinentes para tutelar y hacer eficaz un derecho</w:t>
      </w:r>
      <w:r w:rsidRPr="0001046D">
        <w:rPr>
          <w:rFonts w:ascii="Palatino Linotype" w:hAnsi="Palatino Linotype" w:cs="Arial"/>
          <w:sz w:val="24"/>
          <w:szCs w:val="24"/>
        </w:rPr>
        <w:t>”.</w:t>
      </w:r>
      <w:r w:rsidRPr="0001046D">
        <w:rPr>
          <w:rStyle w:val="Refdenotaalpie"/>
          <w:rFonts w:ascii="Palatino Linotype" w:hAnsi="Palatino Linotype" w:cs="Arial"/>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1046D" w:rsidRDefault="0046491C" w:rsidP="00E34F08">
      <w:pPr>
        <w:pStyle w:val="Prrafodelista"/>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A71441"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t xml:space="preserve"> </w:t>
      </w:r>
      <w:r w:rsidRPr="00A71441">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A71441">
        <w:rPr>
          <w:rFonts w:ascii="Palatino Linotype" w:hAnsi="Palatino Linotype" w:cs="Arial"/>
          <w:b/>
          <w:sz w:val="24"/>
          <w:szCs w:val="24"/>
        </w:rPr>
        <w:t>el deber que tienen los órganos del Estado, dentro del margen de sus atribuciones, de prevenir violaciones a los derechos fundamentales,</w:t>
      </w:r>
      <w:r w:rsidRPr="00A71441">
        <w:rPr>
          <w:rFonts w:ascii="Palatino Linotype" w:hAnsi="Palatino Linotype" w:cs="Arial"/>
          <w:sz w:val="24"/>
          <w:szCs w:val="24"/>
        </w:rPr>
        <w:t xml:space="preserve"> ya sea que provengan de una autoridad o de algún particular y, por ello, </w:t>
      </w:r>
      <w:r w:rsidRPr="00A71441">
        <w:rPr>
          <w:rFonts w:ascii="Palatino Linotype" w:hAnsi="Palatino Linotype" w:cs="Arial"/>
          <w:b/>
          <w:sz w:val="24"/>
          <w:szCs w:val="24"/>
        </w:rPr>
        <w:t>debe contarse</w:t>
      </w:r>
      <w:r w:rsidRPr="00A71441">
        <w:rPr>
          <w:rFonts w:ascii="Palatino Linotype" w:hAnsi="Palatino Linotype" w:cs="Arial"/>
          <w:sz w:val="24"/>
          <w:szCs w:val="24"/>
        </w:rPr>
        <w:t xml:space="preserve"> tanto </w:t>
      </w:r>
      <w:r w:rsidRPr="00A71441">
        <w:rPr>
          <w:rFonts w:ascii="Palatino Linotype" w:hAnsi="Palatino Linotype" w:cs="Arial"/>
          <w:b/>
          <w:sz w:val="24"/>
          <w:szCs w:val="24"/>
        </w:rPr>
        <w:t>con mecanismos</w:t>
      </w:r>
      <w:r w:rsidRPr="00A71441">
        <w:rPr>
          <w:rFonts w:ascii="Palatino Linotype" w:hAnsi="Palatino Linotype" w:cs="Arial"/>
          <w:sz w:val="24"/>
          <w:szCs w:val="24"/>
        </w:rPr>
        <w:t xml:space="preserve"> de vigilancia como </w:t>
      </w:r>
      <w:r w:rsidRPr="00A71441">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A71441">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A71441">
        <w:rPr>
          <w:rFonts w:ascii="Palatino Linotype" w:hAnsi="Palatino Linotype" w:cs="Arial"/>
          <w:sz w:val="24"/>
          <w:szCs w:val="24"/>
        </w:rPr>
        <w:t>Octubre</w:t>
      </w:r>
      <w:proofErr w:type="gramEnd"/>
      <w:r w:rsidRPr="00A71441">
        <w:rPr>
          <w:rFonts w:ascii="Palatino Linotype" w:hAnsi="Palatino Linotype" w:cs="Arial"/>
          <w:sz w:val="24"/>
          <w:szCs w:val="24"/>
        </w:rPr>
        <w:t xml:space="preserv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71441">
      <w:pPr>
        <w:pStyle w:val="Prrafodelista"/>
        <w:numPr>
          <w:ilvl w:val="0"/>
          <w:numId w:val="1"/>
        </w:numPr>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w:t>
      </w:r>
      <w:r w:rsidRPr="009156AC">
        <w:rPr>
          <w:rFonts w:ascii="Palatino Linotype" w:hAnsi="Palatino Linotype" w:cs="Arial"/>
          <w:szCs w:val="24"/>
        </w:rPr>
        <w:t>de la queja, instrumento adecuado 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01046D" w:rsidRPr="0001046D" w:rsidRDefault="0001046D" w:rsidP="00E34F08">
      <w:pPr>
        <w:pStyle w:val="Prrafodelista"/>
        <w:spacing w:after="0" w:line="360" w:lineRule="auto"/>
        <w:ind w:left="284"/>
        <w:jc w:val="both"/>
        <w:rPr>
          <w:rFonts w:ascii="Palatino Linotype" w:hAnsi="Palatino Linotype" w:cs="Arial"/>
          <w:sz w:val="24"/>
          <w:szCs w:val="24"/>
        </w:rPr>
      </w:pPr>
    </w:p>
    <w:p w:rsidR="009156AC" w:rsidRDefault="0046491C" w:rsidP="009531A0">
      <w:pPr>
        <w:tabs>
          <w:tab w:val="left" w:pos="567"/>
        </w:tabs>
        <w:spacing w:after="0" w:line="360" w:lineRule="auto"/>
        <w:ind w:left="567" w:right="618"/>
        <w:jc w:val="both"/>
        <w:rPr>
          <w:rFonts w:ascii="Palatino Linotype" w:hAnsi="Palatino Linotype" w:cs="Arial"/>
          <w:i/>
        </w:rPr>
      </w:pPr>
      <w:r w:rsidRPr="0001046D">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01046D">
        <w:rPr>
          <w:rFonts w:ascii="Palatino Linotype" w:hAnsi="Palatino Linotype" w:cs="Arial"/>
          <w:i/>
        </w:rPr>
        <w:t>ocasionalidad</w:t>
      </w:r>
      <w:proofErr w:type="spellEnd"/>
      <w:r w:rsidRPr="0001046D">
        <w:rPr>
          <w:rFonts w:ascii="Palatino Linotype" w:hAnsi="Palatino Linotype" w:cs="Arial"/>
          <w:i/>
        </w:rPr>
        <w:t xml:space="preserve"> de las presiones sociales que se ejercen sobre el mismo”.</w:t>
      </w:r>
      <w:r w:rsidRPr="0001046D">
        <w:rPr>
          <w:rStyle w:val="Refdenotaalpie"/>
          <w:rFonts w:ascii="Palatino Linotype" w:hAnsi="Palatino Linotype" w:cs="Arial"/>
          <w:i/>
        </w:rPr>
        <w:footnoteReference w:id="5"/>
      </w:r>
    </w:p>
    <w:p w:rsidR="009531A0" w:rsidRPr="0001046D" w:rsidRDefault="009531A0" w:rsidP="009531A0">
      <w:pPr>
        <w:tabs>
          <w:tab w:val="left" w:pos="567"/>
        </w:tabs>
        <w:spacing w:after="0" w:line="360" w:lineRule="auto"/>
        <w:ind w:left="567" w:right="618"/>
        <w:jc w:val="both"/>
        <w:rPr>
          <w:rFonts w:ascii="Palatino Linotype" w:hAnsi="Palatino Linotype" w:cs="Arial"/>
          <w:i/>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DF6F7E" w:rsidRDefault="0046491C" w:rsidP="00805837">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4E3710" w:rsidRPr="00805837" w:rsidRDefault="004E3710" w:rsidP="004E3710">
      <w:pPr>
        <w:pStyle w:val="Prrafodelista"/>
        <w:spacing w:line="360" w:lineRule="auto"/>
        <w:ind w:left="0"/>
        <w:jc w:val="both"/>
        <w:rPr>
          <w:rFonts w:ascii="Palatino Linotype" w:hAnsi="Palatino Linotype" w:cs="Arial"/>
          <w:sz w:val="24"/>
          <w:szCs w:val="24"/>
        </w:rPr>
      </w:pPr>
    </w:p>
    <w:p w:rsidR="00A5491E" w:rsidRDefault="0046491C" w:rsidP="00A5491E">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FF1D51" w:rsidRDefault="00FF1D51" w:rsidP="00805837">
      <w:pPr>
        <w:spacing w:after="0" w:line="360" w:lineRule="auto"/>
        <w:jc w:val="both"/>
        <w:rPr>
          <w:rFonts w:ascii="Palatino Linotype" w:hAnsi="Palatino Linotype" w:cs="Arial"/>
          <w:sz w:val="24"/>
          <w:szCs w:val="24"/>
        </w:rPr>
      </w:pPr>
    </w:p>
    <w:p w:rsidR="00FF1D51" w:rsidRPr="00805837" w:rsidRDefault="00FF1D51" w:rsidP="00805837">
      <w:pPr>
        <w:spacing w:after="0" w:line="360" w:lineRule="auto"/>
        <w:jc w:val="both"/>
        <w:rPr>
          <w:rFonts w:ascii="Palatino Linotype" w:hAnsi="Palatino Linotype" w:cs="Arial"/>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3343B" w:rsidRDefault="0046491C" w:rsidP="0043343B">
      <w:pPr>
        <w:spacing w:line="360" w:lineRule="auto"/>
        <w:jc w:val="center"/>
        <w:rPr>
          <w:rFonts w:ascii="Palatino Linotype" w:hAnsi="Palatino Linotype"/>
          <w:b/>
          <w:sz w:val="24"/>
          <w:szCs w:val="24"/>
        </w:rPr>
      </w:pPr>
      <w:r w:rsidRPr="0001046D">
        <w:rPr>
          <w:rFonts w:ascii="Palatino Linotype" w:hAnsi="Palatino Linotype"/>
          <w:b/>
          <w:sz w:val="24"/>
          <w:szCs w:val="24"/>
        </w:rPr>
        <w:t>COMISIONADO</w:t>
      </w:r>
    </w:p>
    <w:p w:rsidR="006C0BD4" w:rsidRDefault="006C0BD4" w:rsidP="0043343B">
      <w:pPr>
        <w:spacing w:line="360" w:lineRule="auto"/>
        <w:jc w:val="center"/>
        <w:rPr>
          <w:rFonts w:ascii="Palatino Linotype" w:hAnsi="Palatino Linotype"/>
          <w:b/>
          <w:sz w:val="24"/>
          <w:szCs w:val="24"/>
        </w:rPr>
      </w:pPr>
    </w:p>
    <w:p w:rsidR="00FF1D51" w:rsidRDefault="006C0BD4" w:rsidP="0043343B">
      <w:pPr>
        <w:spacing w:line="360" w:lineRule="auto"/>
        <w:jc w:val="center"/>
        <w:rPr>
          <w:rFonts w:ascii="Palatino Linotype" w:hAnsi="Palatino Linotype"/>
          <w:b/>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5715</wp:posOffset>
                </wp:positionV>
                <wp:extent cx="5600700" cy="34290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00700" cy="34290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F9291"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45pt" to="830.8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" strokecolor="black [3200]" strokeweight="1.5pt">
                <v:stroke joinstyle="miter"/>
                <w10:wrap anchorx="margin"/>
              </v:line>
            </w:pict>
          </mc:Fallback>
        </mc:AlternateContent>
      </w:r>
    </w:p>
    <w:p w:rsidR="00FF1D51" w:rsidRDefault="00FF1D51" w:rsidP="0043343B">
      <w:pPr>
        <w:spacing w:line="360" w:lineRule="auto"/>
        <w:jc w:val="center"/>
        <w:rPr>
          <w:rFonts w:ascii="Palatino Linotype" w:hAnsi="Palatino Linotype"/>
          <w:b/>
          <w:sz w:val="24"/>
          <w:szCs w:val="24"/>
        </w:rPr>
      </w:pPr>
    </w:p>
    <w:p w:rsidR="00FF1D51" w:rsidRDefault="00FF1D51" w:rsidP="0043343B">
      <w:pPr>
        <w:spacing w:line="360" w:lineRule="auto"/>
        <w:jc w:val="center"/>
        <w:rPr>
          <w:rFonts w:ascii="Palatino Linotype" w:hAnsi="Palatino Linotype"/>
          <w:b/>
          <w:sz w:val="24"/>
          <w:szCs w:val="24"/>
        </w:rPr>
      </w:pPr>
    </w:p>
    <w:p w:rsidR="00FF1D51" w:rsidRDefault="00FF1D51" w:rsidP="0043343B">
      <w:pPr>
        <w:spacing w:line="360" w:lineRule="auto"/>
        <w:jc w:val="center"/>
        <w:rPr>
          <w:rFonts w:ascii="Palatino Linotype" w:hAnsi="Palatino Linotype"/>
          <w:b/>
          <w:sz w:val="24"/>
          <w:szCs w:val="24"/>
        </w:rPr>
      </w:pPr>
    </w:p>
    <w:p w:rsidR="00FF1D51" w:rsidRDefault="00FF1D51" w:rsidP="00575478">
      <w:pPr>
        <w:spacing w:line="360" w:lineRule="auto"/>
        <w:rPr>
          <w:rFonts w:ascii="Palatino Linotype" w:hAnsi="Palatino Linotype"/>
          <w:b/>
          <w:sz w:val="24"/>
          <w:szCs w:val="24"/>
        </w:rPr>
      </w:pPr>
    </w:p>
    <w:p w:rsidR="006C0BD4" w:rsidRDefault="006C0BD4" w:rsidP="00575478">
      <w:pPr>
        <w:spacing w:line="360" w:lineRule="auto"/>
        <w:rPr>
          <w:rFonts w:ascii="Palatino Linotype" w:hAnsi="Palatino Linotype"/>
          <w:b/>
          <w:sz w:val="24"/>
          <w:szCs w:val="24"/>
        </w:rPr>
      </w:pPr>
    </w:p>
    <w:p w:rsidR="006C0BD4" w:rsidRDefault="006C0BD4" w:rsidP="00575478">
      <w:pPr>
        <w:spacing w:line="360" w:lineRule="auto"/>
        <w:rPr>
          <w:rFonts w:ascii="Palatino Linotype" w:hAnsi="Palatino Linotype"/>
          <w:b/>
          <w:sz w:val="18"/>
          <w:szCs w:val="24"/>
        </w:rPr>
      </w:pPr>
    </w:p>
    <w:p w:rsidR="00FF1D51" w:rsidRDefault="00FF1D51" w:rsidP="00575478">
      <w:pPr>
        <w:spacing w:line="360" w:lineRule="auto"/>
        <w:rPr>
          <w:rFonts w:ascii="Palatino Linotype" w:hAnsi="Palatino Linotype"/>
          <w:b/>
          <w:sz w:val="18"/>
          <w:szCs w:val="24"/>
        </w:rPr>
      </w:pPr>
    </w:p>
    <w:p w:rsidR="00FF1D51" w:rsidRDefault="00A71441" w:rsidP="00575478">
      <w:pPr>
        <w:spacing w:line="360" w:lineRule="auto"/>
        <w:rPr>
          <w:rFonts w:ascii="Palatino Linotype" w:hAnsi="Palatino Linotype"/>
          <w:b/>
          <w:sz w:val="18"/>
          <w:szCs w:val="24"/>
        </w:rPr>
      </w:pPr>
      <w:r w:rsidRPr="00E47A30">
        <w:rPr>
          <w:rFonts w:ascii="Palatino Linotype" w:hAnsi="Palatino Linotype"/>
          <w:b/>
          <w:sz w:val="18"/>
          <w:szCs w:val="24"/>
        </w:rPr>
        <w:t>JGLH/MPBR</w:t>
      </w:r>
      <w:r w:rsidR="00FF1D51">
        <w:rPr>
          <w:rFonts w:ascii="Palatino Linotype" w:hAnsi="Palatino Linotype"/>
          <w:b/>
          <w:sz w:val="18"/>
          <w:szCs w:val="24"/>
        </w:rPr>
        <w:t>.</w:t>
      </w:r>
    </w:p>
    <w:p w:rsidR="00FF1D51" w:rsidRPr="00FF1D51" w:rsidRDefault="00FF1D51" w:rsidP="00FF1D51">
      <w:pPr>
        <w:spacing w:after="0" w:line="240" w:lineRule="auto"/>
        <w:jc w:val="both"/>
        <w:rPr>
          <w:rFonts w:ascii="Palatino Linotype" w:eastAsiaTheme="minorEastAsia" w:hAnsi="Palatino Linotype" w:cs="Arial"/>
          <w:bCs/>
          <w:sz w:val="20"/>
          <w:szCs w:val="18"/>
          <w:lang w:val="es-ES_tradnl" w:eastAsia="es-ES"/>
        </w:rPr>
      </w:pPr>
      <w:r>
        <w:rPr>
          <w:rFonts w:ascii="Palatino Linotype" w:eastAsiaTheme="minorEastAsia" w:hAnsi="Palatino Linotype" w:cs="Arial"/>
          <w:sz w:val="24"/>
          <w:szCs w:val="18"/>
          <w:lang w:val="es-ES_tradnl" w:eastAsia="es-ES"/>
        </w:rPr>
        <w:t>Esta hoja corresponde al voto particular emitido</w:t>
      </w:r>
      <w:r w:rsidRPr="00FF1D51">
        <w:rPr>
          <w:rFonts w:ascii="Palatino Linotype" w:eastAsiaTheme="minorEastAsia" w:hAnsi="Palatino Linotype" w:cs="Arial"/>
          <w:sz w:val="24"/>
          <w:szCs w:val="18"/>
          <w:lang w:val="es-ES_tradnl" w:eastAsia="es-ES"/>
        </w:rPr>
        <w:t xml:space="preserve"> en el recurso de revisión </w:t>
      </w:r>
      <w:r w:rsidRPr="00FF1D51">
        <w:rPr>
          <w:rFonts w:ascii="Palatino Linotype" w:eastAsiaTheme="minorEastAsia" w:hAnsi="Palatino Linotype" w:cs="Arial"/>
          <w:b/>
          <w:bCs/>
          <w:sz w:val="24"/>
          <w:szCs w:val="18"/>
          <w:lang w:val="es-ES_tradnl" w:eastAsia="es-ES"/>
        </w:rPr>
        <w:t>00792/INFOEM/IP/RR/2019</w:t>
      </w:r>
      <w:r w:rsidRPr="00FF1D51">
        <w:rPr>
          <w:rFonts w:ascii="Palatino Linotype" w:eastAsiaTheme="minorEastAsia" w:hAnsi="Palatino Linotype" w:cs="Arial"/>
          <w:b/>
          <w:bCs/>
          <w:sz w:val="20"/>
          <w:szCs w:val="18"/>
          <w:lang w:val="es-ES_tradnl" w:eastAsia="es-ES"/>
        </w:rPr>
        <w:t>.</w:t>
      </w:r>
    </w:p>
    <w:p w:rsidR="00FF1D51" w:rsidRPr="00E47A30" w:rsidRDefault="00FF1D51" w:rsidP="00575478">
      <w:pPr>
        <w:spacing w:line="360" w:lineRule="auto"/>
        <w:rPr>
          <w:rFonts w:ascii="Palatino Linotype" w:hAnsi="Palatino Linotype"/>
          <w:b/>
          <w:sz w:val="18"/>
          <w:szCs w:val="24"/>
        </w:rPr>
      </w:pPr>
      <w:bookmarkStart w:id="3" w:name="_GoBack"/>
      <w:bookmarkEnd w:id="3"/>
    </w:p>
    <w:sectPr w:rsidR="00FF1D51" w:rsidRPr="00E47A30" w:rsidSect="00DA55B8">
      <w:headerReference w:type="even" r:id="rId8"/>
      <w:headerReference w:type="default" r:id="rId9"/>
      <w:footerReference w:type="default" r:id="rId10"/>
      <w:headerReference w:type="first" r:id="rId11"/>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B7F" w:rsidRDefault="00846B7F" w:rsidP="00E706DA">
      <w:pPr>
        <w:spacing w:after="0" w:line="240" w:lineRule="auto"/>
      </w:pPr>
      <w:r>
        <w:separator/>
      </w:r>
    </w:p>
  </w:endnote>
  <w:endnote w:type="continuationSeparator" w:id="0">
    <w:p w:rsidR="00846B7F" w:rsidRDefault="00846B7F"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8C463A">
              <w:rPr>
                <w:rFonts w:ascii="Palatino Linotype" w:hAnsi="Palatino Linotype"/>
                <w:b/>
                <w:bCs/>
                <w:noProof/>
                <w:sz w:val="20"/>
                <w:szCs w:val="20"/>
              </w:rPr>
              <w:t>19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8C463A">
              <w:rPr>
                <w:rFonts w:ascii="Palatino Linotype" w:hAnsi="Palatino Linotype"/>
                <w:b/>
                <w:bCs/>
                <w:noProof/>
                <w:sz w:val="20"/>
                <w:szCs w:val="20"/>
              </w:rPr>
              <w:t>19</w:t>
            </w:r>
            <w:r w:rsidRPr="0052203D">
              <w:rPr>
                <w:rFonts w:ascii="Palatino Linotype" w:hAnsi="Palatino Linotype"/>
                <w:b/>
                <w:bCs/>
                <w:sz w:val="20"/>
                <w:szCs w:val="20"/>
              </w:rPr>
              <w:fldChar w:fldCharType="end"/>
            </w:r>
          </w:p>
        </w:sdtContent>
      </w:sdt>
    </w:sdtContent>
  </w:sdt>
  <w:p w:rsidR="00951E8B" w:rsidRDefault="008C46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B7F" w:rsidRDefault="00846B7F" w:rsidP="00E706DA">
      <w:pPr>
        <w:spacing w:after="0" w:line="240" w:lineRule="auto"/>
      </w:pPr>
      <w:r>
        <w:separator/>
      </w:r>
    </w:p>
  </w:footnote>
  <w:footnote w:type="continuationSeparator" w:id="0">
    <w:p w:rsidR="00846B7F" w:rsidRDefault="00846B7F"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C463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C463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8C463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C463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AF5F41"/>
    <w:multiLevelType w:val="hybridMultilevel"/>
    <w:tmpl w:val="C48CC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DA4B84"/>
    <w:multiLevelType w:val="hybridMultilevel"/>
    <w:tmpl w:val="890E8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B851C05"/>
    <w:multiLevelType w:val="hybridMultilevel"/>
    <w:tmpl w:val="3CC0E3D8"/>
    <w:lvl w:ilvl="0" w:tplc="AEF8F57C">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D6D1AE4"/>
    <w:multiLevelType w:val="hybridMultilevel"/>
    <w:tmpl w:val="6C3494CE"/>
    <w:lvl w:ilvl="0" w:tplc="1F72B716">
      <w:numFmt w:val="bullet"/>
      <w:lvlText w:val="-"/>
      <w:lvlJc w:val="left"/>
      <w:pPr>
        <w:ind w:left="1080" w:hanging="360"/>
      </w:pPr>
      <w:rPr>
        <w:rFonts w:ascii="Palatino Linotype" w:eastAsiaTheme="minorHAns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3"/>
  </w:num>
  <w:num w:numId="4">
    <w:abstractNumId w:val="7"/>
  </w:num>
  <w:num w:numId="5">
    <w:abstractNumId w:val="9"/>
  </w:num>
  <w:num w:numId="6">
    <w:abstractNumId w:val="11"/>
  </w:num>
  <w:num w:numId="7">
    <w:abstractNumId w:val="15"/>
  </w:num>
  <w:num w:numId="8">
    <w:abstractNumId w:val="12"/>
  </w:num>
  <w:num w:numId="9">
    <w:abstractNumId w:val="17"/>
  </w:num>
  <w:num w:numId="10">
    <w:abstractNumId w:val="1"/>
  </w:num>
  <w:num w:numId="11">
    <w:abstractNumId w:val="16"/>
  </w:num>
  <w:num w:numId="12">
    <w:abstractNumId w:val="6"/>
  </w:num>
  <w:num w:numId="13">
    <w:abstractNumId w:val="2"/>
  </w:num>
  <w:num w:numId="14">
    <w:abstractNumId w:val="5"/>
  </w:num>
  <w:num w:numId="15">
    <w:abstractNumId w:val="13"/>
  </w:num>
  <w:num w:numId="16">
    <w:abstractNumId w:val="8"/>
  </w:num>
  <w:num w:numId="17">
    <w:abstractNumId w:val="14"/>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73F0D"/>
    <w:rsid w:val="000951B4"/>
    <w:rsid w:val="000A77B5"/>
    <w:rsid w:val="000A7B66"/>
    <w:rsid w:val="000F6C81"/>
    <w:rsid w:val="000F6CBB"/>
    <w:rsid w:val="00105730"/>
    <w:rsid w:val="00114FDC"/>
    <w:rsid w:val="00122625"/>
    <w:rsid w:val="00194B6A"/>
    <w:rsid w:val="001D3F34"/>
    <w:rsid w:val="0020315F"/>
    <w:rsid w:val="002036ED"/>
    <w:rsid w:val="0021461E"/>
    <w:rsid w:val="00222DD9"/>
    <w:rsid w:val="00225026"/>
    <w:rsid w:val="0025704D"/>
    <w:rsid w:val="00260D6C"/>
    <w:rsid w:val="002620E9"/>
    <w:rsid w:val="00281310"/>
    <w:rsid w:val="002C1F75"/>
    <w:rsid w:val="00302832"/>
    <w:rsid w:val="00346DBD"/>
    <w:rsid w:val="00367E00"/>
    <w:rsid w:val="003705BB"/>
    <w:rsid w:val="003747A5"/>
    <w:rsid w:val="003837C2"/>
    <w:rsid w:val="003D7B9E"/>
    <w:rsid w:val="003F6E8C"/>
    <w:rsid w:val="00412952"/>
    <w:rsid w:val="00413496"/>
    <w:rsid w:val="00424DE3"/>
    <w:rsid w:val="0043343B"/>
    <w:rsid w:val="00444048"/>
    <w:rsid w:val="0046491C"/>
    <w:rsid w:val="0048490F"/>
    <w:rsid w:val="00497EB1"/>
    <w:rsid w:val="004E3710"/>
    <w:rsid w:val="004F5418"/>
    <w:rsid w:val="005237D2"/>
    <w:rsid w:val="00532410"/>
    <w:rsid w:val="0057394E"/>
    <w:rsid w:val="00575478"/>
    <w:rsid w:val="00587C4C"/>
    <w:rsid w:val="005A3267"/>
    <w:rsid w:val="005C79C8"/>
    <w:rsid w:val="005F3760"/>
    <w:rsid w:val="00634736"/>
    <w:rsid w:val="00651380"/>
    <w:rsid w:val="006728FD"/>
    <w:rsid w:val="00673293"/>
    <w:rsid w:val="0069498B"/>
    <w:rsid w:val="006C0BD4"/>
    <w:rsid w:val="006E2606"/>
    <w:rsid w:val="00717C0D"/>
    <w:rsid w:val="0072136B"/>
    <w:rsid w:val="0076241F"/>
    <w:rsid w:val="00770016"/>
    <w:rsid w:val="00790E37"/>
    <w:rsid w:val="007A7FAD"/>
    <w:rsid w:val="007E2CF8"/>
    <w:rsid w:val="00805837"/>
    <w:rsid w:val="00814E97"/>
    <w:rsid w:val="008361CA"/>
    <w:rsid w:val="00846B7F"/>
    <w:rsid w:val="00850252"/>
    <w:rsid w:val="00856FA1"/>
    <w:rsid w:val="008822B3"/>
    <w:rsid w:val="008B03B6"/>
    <w:rsid w:val="008C2FF2"/>
    <w:rsid w:val="008C463A"/>
    <w:rsid w:val="008D4B3A"/>
    <w:rsid w:val="008E01AC"/>
    <w:rsid w:val="008E1DCC"/>
    <w:rsid w:val="008F3E81"/>
    <w:rsid w:val="00900E75"/>
    <w:rsid w:val="00902248"/>
    <w:rsid w:val="009156AC"/>
    <w:rsid w:val="00937D7D"/>
    <w:rsid w:val="0094239C"/>
    <w:rsid w:val="009531A0"/>
    <w:rsid w:val="009B4E7D"/>
    <w:rsid w:val="009C4EF6"/>
    <w:rsid w:val="009F1B31"/>
    <w:rsid w:val="00A5491E"/>
    <w:rsid w:val="00A63717"/>
    <w:rsid w:val="00A71441"/>
    <w:rsid w:val="00AA49F3"/>
    <w:rsid w:val="00AB023D"/>
    <w:rsid w:val="00AB126B"/>
    <w:rsid w:val="00AC381E"/>
    <w:rsid w:val="00AE4797"/>
    <w:rsid w:val="00AE58DA"/>
    <w:rsid w:val="00AF6A25"/>
    <w:rsid w:val="00AF73BC"/>
    <w:rsid w:val="00B120CA"/>
    <w:rsid w:val="00B62486"/>
    <w:rsid w:val="00BC36AB"/>
    <w:rsid w:val="00BC7B0C"/>
    <w:rsid w:val="00BF3534"/>
    <w:rsid w:val="00C4038B"/>
    <w:rsid w:val="00CA5ADD"/>
    <w:rsid w:val="00CE0823"/>
    <w:rsid w:val="00CF0E21"/>
    <w:rsid w:val="00D21BA3"/>
    <w:rsid w:val="00D33AF9"/>
    <w:rsid w:val="00D363F7"/>
    <w:rsid w:val="00D72985"/>
    <w:rsid w:val="00D7508B"/>
    <w:rsid w:val="00DF6F7E"/>
    <w:rsid w:val="00E34F08"/>
    <w:rsid w:val="00E35329"/>
    <w:rsid w:val="00E47A30"/>
    <w:rsid w:val="00E61AB8"/>
    <w:rsid w:val="00E706DA"/>
    <w:rsid w:val="00E83E93"/>
    <w:rsid w:val="00E90EB5"/>
    <w:rsid w:val="00E94FBF"/>
    <w:rsid w:val="00EA2C08"/>
    <w:rsid w:val="00ED57EE"/>
    <w:rsid w:val="00EF0C2D"/>
    <w:rsid w:val="00F25783"/>
    <w:rsid w:val="00F27B07"/>
    <w:rsid w:val="00F45161"/>
    <w:rsid w:val="00F46E78"/>
    <w:rsid w:val="00F857BC"/>
    <w:rsid w:val="00FB36A6"/>
    <w:rsid w:val="00FC4635"/>
    <w:rsid w:val="00FE23FD"/>
    <w:rsid w:val="00FF0F06"/>
    <w:rsid w:val="00FF1D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E25FD-EB0E-4E56-9976-925227D2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3767</Words>
  <Characters>20720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2019-04-29T22:34:00Z</cp:lastPrinted>
  <dcterms:created xsi:type="dcterms:W3CDTF">2019-08-21T15:41:00Z</dcterms:created>
  <dcterms:modified xsi:type="dcterms:W3CDTF">2019-08-21T16:30:00Z</dcterms:modified>
</cp:coreProperties>
</file>